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38" w:rsidRPr="004D0CAF" w:rsidRDefault="00C04356" w:rsidP="004D0CAF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Podsumowanie</w:t>
      </w:r>
      <w:r w:rsidR="004D0CAF" w:rsidRPr="004D0CAF">
        <w:rPr>
          <w:rFonts w:ascii="Arial" w:hAnsi="Arial" w:cs="Arial"/>
          <w:b/>
          <w:sz w:val="24"/>
          <w:szCs w:val="24"/>
        </w:rPr>
        <w:t xml:space="preserve"> </w:t>
      </w:r>
      <w:r w:rsidR="008446B8">
        <w:rPr>
          <w:rFonts w:ascii="Arial" w:hAnsi="Arial" w:cs="Arial"/>
          <w:b/>
          <w:sz w:val="24"/>
          <w:szCs w:val="24"/>
        </w:rPr>
        <w:t>konsultacji społecznych</w:t>
      </w:r>
      <w:r w:rsidR="008177C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przeprowadzonych </w:t>
      </w:r>
      <w:r w:rsidR="004D0CAF" w:rsidRPr="004D0CAF">
        <w:rPr>
          <w:rFonts w:ascii="Arial" w:hAnsi="Arial" w:cs="Arial"/>
          <w:b/>
          <w:sz w:val="24"/>
          <w:szCs w:val="24"/>
        </w:rPr>
        <w:t xml:space="preserve">w ramach </w:t>
      </w:r>
      <w:r>
        <w:rPr>
          <w:rFonts w:ascii="Arial" w:hAnsi="Arial" w:cs="Arial"/>
          <w:b/>
          <w:sz w:val="24"/>
          <w:szCs w:val="24"/>
        </w:rPr>
        <w:br/>
      </w:r>
      <w:r w:rsidR="004D0CAF" w:rsidRPr="004D0CAF">
        <w:rPr>
          <w:rFonts w:ascii="Arial" w:hAnsi="Arial" w:cs="Arial"/>
          <w:b/>
          <w:sz w:val="24"/>
          <w:szCs w:val="24"/>
        </w:rPr>
        <w:t>op</w:t>
      </w:r>
      <w:r w:rsidR="004D0CAF" w:rsidRPr="004D0CAF">
        <w:rPr>
          <w:rFonts w:ascii="Arial" w:hAnsi="Arial" w:cs="Arial"/>
          <w:b/>
          <w:sz w:val="24"/>
        </w:rPr>
        <w:t>racowania</w:t>
      </w:r>
      <w:r>
        <w:rPr>
          <w:rFonts w:ascii="Arial" w:hAnsi="Arial" w:cs="Arial"/>
          <w:b/>
          <w:sz w:val="24"/>
        </w:rPr>
        <w:t xml:space="preserve"> </w:t>
      </w:r>
      <w:r w:rsidR="004D0CAF" w:rsidRPr="004D0CAF">
        <w:rPr>
          <w:rFonts w:ascii="Arial" w:hAnsi="Arial" w:cs="Arial"/>
          <w:b/>
          <w:sz w:val="24"/>
        </w:rPr>
        <w:t>Strategii rozwoju Miasta Siedlce do 2025 r.</w:t>
      </w:r>
    </w:p>
    <w:p w:rsidR="00947015" w:rsidRDefault="00947015" w:rsidP="004D0CAF">
      <w:pPr>
        <w:rPr>
          <w:rFonts w:ascii="Arial" w:hAnsi="Arial" w:cs="Arial"/>
          <w:sz w:val="24"/>
        </w:rPr>
      </w:pPr>
    </w:p>
    <w:p w:rsidR="008446B8" w:rsidRDefault="008446B8" w:rsidP="004D0CAF">
      <w:pPr>
        <w:spacing w:after="120" w:line="360" w:lineRule="auto"/>
        <w:jc w:val="both"/>
        <w:rPr>
          <w:rFonts w:ascii="Arial" w:hAnsi="Arial" w:cs="Arial"/>
          <w:sz w:val="24"/>
        </w:rPr>
      </w:pPr>
      <w:r w:rsidRPr="008446B8">
        <w:rPr>
          <w:rFonts w:ascii="Arial" w:hAnsi="Arial" w:cs="Arial"/>
          <w:sz w:val="24"/>
        </w:rPr>
        <w:t xml:space="preserve">Strategia </w:t>
      </w:r>
      <w:r w:rsidR="00C04356">
        <w:rPr>
          <w:rFonts w:ascii="Arial" w:hAnsi="Arial" w:cs="Arial"/>
          <w:sz w:val="24"/>
        </w:rPr>
        <w:t>R</w:t>
      </w:r>
      <w:r w:rsidRPr="008446B8">
        <w:rPr>
          <w:rFonts w:ascii="Arial" w:hAnsi="Arial" w:cs="Arial"/>
          <w:sz w:val="24"/>
        </w:rPr>
        <w:t>ozwoju Miasta Siedlce do 2025 r. powstawała z udziałem wielu grup inte-resariuszy</w:t>
      </w:r>
      <w:r w:rsidR="00E60C76">
        <w:rPr>
          <w:rFonts w:ascii="Arial" w:hAnsi="Arial" w:cs="Arial"/>
          <w:sz w:val="24"/>
        </w:rPr>
        <w:t xml:space="preserve">. Konsultacje społeczne </w:t>
      </w:r>
      <w:r>
        <w:rPr>
          <w:rFonts w:ascii="Arial" w:hAnsi="Arial" w:cs="Arial"/>
          <w:sz w:val="24"/>
        </w:rPr>
        <w:t>odbywał</w:t>
      </w:r>
      <w:r w:rsidR="00E60C76">
        <w:rPr>
          <w:rFonts w:ascii="Arial" w:hAnsi="Arial" w:cs="Arial"/>
          <w:sz w:val="24"/>
        </w:rPr>
        <w:t xml:space="preserve">y </w:t>
      </w:r>
      <w:r>
        <w:rPr>
          <w:rFonts w:ascii="Arial" w:hAnsi="Arial" w:cs="Arial"/>
          <w:sz w:val="24"/>
        </w:rPr>
        <w:t>w różnych formach</w:t>
      </w:r>
      <w:r w:rsidR="00E60C76">
        <w:rPr>
          <w:rFonts w:ascii="Arial" w:hAnsi="Arial" w:cs="Arial"/>
          <w:sz w:val="24"/>
        </w:rPr>
        <w:t xml:space="preserve"> i na różnych etapach powstawania strategii</w:t>
      </w:r>
      <w:r w:rsidRPr="008446B8">
        <w:rPr>
          <w:rFonts w:ascii="Arial" w:hAnsi="Arial" w:cs="Arial"/>
          <w:sz w:val="24"/>
        </w:rPr>
        <w:t>.</w:t>
      </w:r>
      <w:r w:rsidR="00E60C76">
        <w:rPr>
          <w:rFonts w:ascii="Arial" w:hAnsi="Arial" w:cs="Arial"/>
          <w:sz w:val="24"/>
        </w:rPr>
        <w:t xml:space="preserve"> Były to:</w:t>
      </w:r>
    </w:p>
    <w:p w:rsidR="008446B8" w:rsidRPr="008446B8" w:rsidRDefault="008446B8" w:rsidP="008446B8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4"/>
        </w:rPr>
      </w:pPr>
      <w:r w:rsidRPr="008446B8">
        <w:rPr>
          <w:rFonts w:ascii="Arial" w:hAnsi="Arial" w:cs="Arial"/>
          <w:sz w:val="24"/>
        </w:rPr>
        <w:t>Spotkanie konsultacyjne służące ocenie sytuacji rozwojowej miasta oraz w</w:t>
      </w:r>
      <w:r w:rsidRPr="008446B8">
        <w:rPr>
          <w:rFonts w:ascii="Arial" w:hAnsi="Arial" w:cs="Arial"/>
          <w:sz w:val="24"/>
        </w:rPr>
        <w:t>y</w:t>
      </w:r>
      <w:r w:rsidRPr="008446B8">
        <w:rPr>
          <w:rFonts w:ascii="Arial" w:hAnsi="Arial" w:cs="Arial"/>
          <w:sz w:val="24"/>
        </w:rPr>
        <w:t>odrębnieniu kluczowych mocnych, słabych stron oraz szans i zagrożeń</w:t>
      </w:r>
    </w:p>
    <w:p w:rsidR="008446B8" w:rsidRPr="008446B8" w:rsidRDefault="008446B8" w:rsidP="008446B8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4"/>
        </w:rPr>
      </w:pPr>
      <w:r w:rsidRPr="008446B8">
        <w:rPr>
          <w:rFonts w:ascii="Arial" w:hAnsi="Arial" w:cs="Arial"/>
          <w:sz w:val="24"/>
        </w:rPr>
        <w:t>Spotkanie konsultacyjne dotyczące proponowanej wizji i celów rozwojowych dla miasta Siedlce w perspektywie do 2025 r.</w:t>
      </w:r>
    </w:p>
    <w:p w:rsidR="006C0F0B" w:rsidRDefault="008446B8" w:rsidP="000B64E0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4"/>
        </w:rPr>
      </w:pPr>
      <w:r w:rsidRPr="006C0F0B">
        <w:rPr>
          <w:rFonts w:ascii="Arial" w:hAnsi="Arial" w:cs="Arial"/>
          <w:sz w:val="24"/>
        </w:rPr>
        <w:t>Otwarte spotkanie konsultacyjne dla mieszkańców i innych osób zainteres</w:t>
      </w:r>
      <w:r w:rsidRPr="006C0F0B">
        <w:rPr>
          <w:rFonts w:ascii="Arial" w:hAnsi="Arial" w:cs="Arial"/>
          <w:sz w:val="24"/>
        </w:rPr>
        <w:t>o</w:t>
      </w:r>
      <w:r w:rsidRPr="006C0F0B">
        <w:rPr>
          <w:rFonts w:ascii="Arial" w:hAnsi="Arial" w:cs="Arial"/>
          <w:sz w:val="24"/>
        </w:rPr>
        <w:t xml:space="preserve">wanych rozwojem miasta dotyczące całościowego projektu Strategii </w:t>
      </w:r>
    </w:p>
    <w:p w:rsidR="008446B8" w:rsidRPr="006C0F0B" w:rsidRDefault="008446B8" w:rsidP="000B64E0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4"/>
        </w:rPr>
      </w:pPr>
      <w:r w:rsidRPr="006C0F0B">
        <w:rPr>
          <w:rFonts w:ascii="Arial" w:hAnsi="Arial" w:cs="Arial"/>
          <w:sz w:val="24"/>
        </w:rPr>
        <w:t xml:space="preserve">Konsultacje internetowe </w:t>
      </w:r>
      <w:r w:rsidR="0070212F">
        <w:rPr>
          <w:rFonts w:ascii="Arial" w:hAnsi="Arial" w:cs="Arial"/>
          <w:sz w:val="24"/>
        </w:rPr>
        <w:t xml:space="preserve">i bezpośrednie </w:t>
      </w:r>
      <w:r w:rsidRPr="006C0F0B">
        <w:rPr>
          <w:rFonts w:ascii="Arial" w:hAnsi="Arial" w:cs="Arial"/>
          <w:sz w:val="24"/>
        </w:rPr>
        <w:t>obejmujące ocenę poszczególnych celów rozwojowych pod kątem identyfikacji priorytet</w:t>
      </w:r>
      <w:r w:rsidR="0070212F">
        <w:rPr>
          <w:rFonts w:ascii="Arial" w:hAnsi="Arial" w:cs="Arial"/>
          <w:sz w:val="24"/>
        </w:rPr>
        <w:t>ów rozwojowych dla mi</w:t>
      </w:r>
      <w:r w:rsidR="0070212F">
        <w:rPr>
          <w:rFonts w:ascii="Arial" w:hAnsi="Arial" w:cs="Arial"/>
          <w:sz w:val="24"/>
        </w:rPr>
        <w:t>a</w:t>
      </w:r>
      <w:r w:rsidR="0070212F">
        <w:rPr>
          <w:rFonts w:ascii="Arial" w:hAnsi="Arial" w:cs="Arial"/>
          <w:sz w:val="24"/>
        </w:rPr>
        <w:t>sta</w:t>
      </w:r>
    </w:p>
    <w:p w:rsidR="002D76F0" w:rsidRDefault="008446B8" w:rsidP="002D76F0">
      <w:pPr>
        <w:spacing w:after="120" w:line="360" w:lineRule="auto"/>
        <w:jc w:val="both"/>
        <w:rPr>
          <w:rFonts w:ascii="Arial" w:hAnsi="Arial" w:cs="Arial"/>
          <w:sz w:val="24"/>
        </w:rPr>
      </w:pPr>
      <w:r w:rsidRPr="002D76F0">
        <w:rPr>
          <w:rFonts w:ascii="Arial" w:hAnsi="Arial" w:cs="Arial"/>
          <w:sz w:val="24"/>
        </w:rPr>
        <w:t xml:space="preserve">Podczas </w:t>
      </w:r>
      <w:r w:rsidRPr="002D76F0">
        <w:rPr>
          <w:rFonts w:ascii="Arial" w:hAnsi="Arial" w:cs="Arial"/>
          <w:b/>
          <w:sz w:val="24"/>
        </w:rPr>
        <w:t>pierwszego spotkania konsultacyjnego</w:t>
      </w:r>
      <w:r w:rsidRPr="002D76F0">
        <w:rPr>
          <w:rFonts w:ascii="Arial" w:hAnsi="Arial" w:cs="Arial"/>
          <w:sz w:val="24"/>
        </w:rPr>
        <w:t>, które odbyło się 15 czerwca 2015 r. w Urzędzie Miasta Siedlce, dokonano oceny sytuacji rozwojowej miasta</w:t>
      </w:r>
      <w:r w:rsidR="002D76F0" w:rsidRPr="002D76F0">
        <w:rPr>
          <w:rFonts w:ascii="Arial" w:hAnsi="Arial" w:cs="Arial"/>
          <w:sz w:val="24"/>
        </w:rPr>
        <w:t xml:space="preserve">. </w:t>
      </w:r>
      <w:r w:rsidR="00E60C76">
        <w:rPr>
          <w:rFonts w:ascii="Arial" w:hAnsi="Arial" w:cs="Arial"/>
          <w:sz w:val="24"/>
        </w:rPr>
        <w:br/>
      </w:r>
      <w:r w:rsidR="002D76F0" w:rsidRPr="002D76F0">
        <w:rPr>
          <w:rFonts w:ascii="Arial" w:hAnsi="Arial" w:cs="Arial"/>
          <w:sz w:val="24"/>
        </w:rPr>
        <w:t>W spotkaniu uczestniczyli pracownicy urzędu</w:t>
      </w:r>
      <w:r w:rsidR="00E60C76">
        <w:rPr>
          <w:rFonts w:ascii="Arial" w:hAnsi="Arial" w:cs="Arial"/>
          <w:sz w:val="24"/>
        </w:rPr>
        <w:t xml:space="preserve"> i</w:t>
      </w:r>
      <w:r w:rsidR="002D76F0" w:rsidRPr="002D76F0">
        <w:rPr>
          <w:rFonts w:ascii="Arial" w:hAnsi="Arial" w:cs="Arial"/>
          <w:sz w:val="24"/>
        </w:rPr>
        <w:t xml:space="preserve"> jednostek podległych Miastu oraz wi</w:t>
      </w:r>
      <w:r w:rsidR="002D76F0" w:rsidRPr="002D76F0">
        <w:rPr>
          <w:rFonts w:ascii="Arial" w:hAnsi="Arial" w:cs="Arial"/>
          <w:sz w:val="24"/>
        </w:rPr>
        <w:t>e</w:t>
      </w:r>
      <w:r w:rsidR="002D76F0" w:rsidRPr="002D76F0">
        <w:rPr>
          <w:rFonts w:ascii="Arial" w:hAnsi="Arial" w:cs="Arial"/>
          <w:sz w:val="24"/>
        </w:rPr>
        <w:t>lu innych interesariuszy</w:t>
      </w:r>
      <w:r w:rsidR="002D76F0">
        <w:rPr>
          <w:rFonts w:ascii="Arial" w:hAnsi="Arial" w:cs="Arial"/>
          <w:sz w:val="24"/>
        </w:rPr>
        <w:t xml:space="preserve"> (łącznie ok. 60 osób)</w:t>
      </w:r>
      <w:r w:rsidR="002D76F0" w:rsidRPr="002D76F0">
        <w:rPr>
          <w:rFonts w:ascii="Arial" w:hAnsi="Arial" w:cs="Arial"/>
          <w:sz w:val="24"/>
        </w:rPr>
        <w:t>. Warsztaty odbyły się w ramach dwóch grup. Pierwsza z nich skupiała osoby zainteresowane społecznymi aspektami rozw</w:t>
      </w:r>
      <w:r w:rsidR="002D76F0" w:rsidRPr="002D76F0">
        <w:rPr>
          <w:rFonts w:ascii="Arial" w:hAnsi="Arial" w:cs="Arial"/>
          <w:sz w:val="24"/>
        </w:rPr>
        <w:t>o</w:t>
      </w:r>
      <w:r w:rsidR="002D76F0" w:rsidRPr="002D76F0">
        <w:rPr>
          <w:rFonts w:ascii="Arial" w:hAnsi="Arial" w:cs="Arial"/>
          <w:sz w:val="24"/>
        </w:rPr>
        <w:t>ju miasta, natomiast druga – aspektami gospodarczymi i infrastrukturalnymi. Podczas spotkania omówiono koncepcję</w:t>
      </w:r>
      <w:r w:rsidR="000E5505" w:rsidRPr="002D76F0">
        <w:rPr>
          <w:rFonts w:ascii="Arial" w:hAnsi="Arial" w:cs="Arial"/>
          <w:sz w:val="24"/>
        </w:rPr>
        <w:t xml:space="preserve"> oprac</w:t>
      </w:r>
      <w:r w:rsidR="002D76F0" w:rsidRPr="002D76F0">
        <w:rPr>
          <w:rFonts w:ascii="Arial" w:hAnsi="Arial" w:cs="Arial"/>
          <w:sz w:val="24"/>
        </w:rPr>
        <w:t>owania Strategii oraz jej istotę, a także</w:t>
      </w:r>
      <w:r w:rsidR="000E5505" w:rsidRPr="002D76F0">
        <w:rPr>
          <w:rFonts w:ascii="Arial" w:hAnsi="Arial" w:cs="Arial"/>
          <w:sz w:val="24"/>
        </w:rPr>
        <w:t xml:space="preserve"> </w:t>
      </w:r>
      <w:r w:rsidR="002D76F0" w:rsidRPr="002D76F0">
        <w:rPr>
          <w:rFonts w:ascii="Arial" w:hAnsi="Arial" w:cs="Arial"/>
          <w:sz w:val="24"/>
        </w:rPr>
        <w:t>prze</w:t>
      </w:r>
      <w:r w:rsidR="002D76F0" w:rsidRPr="002D76F0">
        <w:rPr>
          <w:rFonts w:ascii="Arial" w:hAnsi="Arial" w:cs="Arial"/>
          <w:sz w:val="24"/>
        </w:rPr>
        <w:t>d</w:t>
      </w:r>
      <w:r w:rsidR="002D76F0" w:rsidRPr="002D76F0">
        <w:rPr>
          <w:rFonts w:ascii="Arial" w:hAnsi="Arial" w:cs="Arial"/>
          <w:sz w:val="24"/>
        </w:rPr>
        <w:t>stawiono wyniki</w:t>
      </w:r>
      <w:r w:rsidR="000E5505" w:rsidRPr="002D76F0">
        <w:rPr>
          <w:rFonts w:ascii="Arial" w:hAnsi="Arial" w:cs="Arial"/>
          <w:sz w:val="24"/>
        </w:rPr>
        <w:t xml:space="preserve"> analizy SWOT dla miasta Siedlce. W prezentacji (po dokonaniu wcześniejszych analiz) </w:t>
      </w:r>
      <w:r w:rsidR="002D76F0" w:rsidRPr="002D76F0">
        <w:rPr>
          <w:rFonts w:ascii="Arial" w:hAnsi="Arial" w:cs="Arial"/>
          <w:sz w:val="24"/>
        </w:rPr>
        <w:t>przedstawiono</w:t>
      </w:r>
      <w:r w:rsidR="000E5505" w:rsidRPr="002D76F0">
        <w:rPr>
          <w:rFonts w:ascii="Arial" w:hAnsi="Arial" w:cs="Arial"/>
          <w:sz w:val="24"/>
        </w:rPr>
        <w:t xml:space="preserve"> 11 mocnych stron, </w:t>
      </w:r>
      <w:r w:rsidR="002D76F0" w:rsidRPr="002D76F0">
        <w:rPr>
          <w:rFonts w:ascii="Arial" w:hAnsi="Arial" w:cs="Arial"/>
          <w:sz w:val="24"/>
        </w:rPr>
        <w:t xml:space="preserve">9 słabych stron, 7 szans oraz </w:t>
      </w:r>
      <w:r w:rsidR="006C0F0B">
        <w:rPr>
          <w:rFonts w:ascii="Arial" w:hAnsi="Arial" w:cs="Arial"/>
          <w:sz w:val="24"/>
        </w:rPr>
        <w:t>7 </w:t>
      </w:r>
      <w:r w:rsidR="002D76F0" w:rsidRPr="002D76F0">
        <w:rPr>
          <w:rFonts w:ascii="Arial" w:hAnsi="Arial" w:cs="Arial"/>
          <w:sz w:val="24"/>
        </w:rPr>
        <w:t xml:space="preserve">zagrożeń. Następnie </w:t>
      </w:r>
      <w:r w:rsidR="00E4794A" w:rsidRPr="002D76F0">
        <w:rPr>
          <w:rFonts w:ascii="Arial" w:hAnsi="Arial" w:cs="Arial"/>
          <w:sz w:val="24"/>
        </w:rPr>
        <w:t>rozpoczęto dyskusję nad nimi, która miała prowadzić do modyfikacji lub uzupełnienia zidentyfikowanych czynników rozwojowych. W ramach obu części warsztatów, dyskusja trwała ponad godzinę i koncentrowała się na pogł</w:t>
      </w:r>
      <w:r w:rsidR="00E4794A" w:rsidRPr="002D76F0">
        <w:rPr>
          <w:rFonts w:ascii="Arial" w:hAnsi="Arial" w:cs="Arial"/>
          <w:sz w:val="24"/>
        </w:rPr>
        <w:t>ę</w:t>
      </w:r>
      <w:r w:rsidR="00E4794A" w:rsidRPr="002D76F0">
        <w:rPr>
          <w:rFonts w:ascii="Arial" w:hAnsi="Arial" w:cs="Arial"/>
          <w:sz w:val="24"/>
        </w:rPr>
        <w:t xml:space="preserve">bieniu oraz uzupełnieniu zaproponowanej analizy SWOT. </w:t>
      </w:r>
      <w:r w:rsidR="002D76F0">
        <w:rPr>
          <w:rFonts w:ascii="Arial" w:hAnsi="Arial" w:cs="Arial"/>
          <w:sz w:val="24"/>
        </w:rPr>
        <w:t>Dzięki niej udało się pogł</w:t>
      </w:r>
      <w:r w:rsidR="002D76F0">
        <w:rPr>
          <w:rFonts w:ascii="Arial" w:hAnsi="Arial" w:cs="Arial"/>
          <w:sz w:val="24"/>
        </w:rPr>
        <w:t>ę</w:t>
      </w:r>
      <w:r w:rsidR="002D76F0">
        <w:rPr>
          <w:rFonts w:ascii="Arial" w:hAnsi="Arial" w:cs="Arial"/>
          <w:sz w:val="24"/>
        </w:rPr>
        <w:t>bić i uzupełnić szczegółową diagnozę stanu istniejącego o kilka ważnych elementów. Ponadto, w toku dyskusji zdecydowano o wprowadzeniu dwóch nowych mocnych stron miasta.</w:t>
      </w:r>
    </w:p>
    <w:p w:rsidR="002D76F0" w:rsidRDefault="002D76F0" w:rsidP="002D76F0">
      <w:pPr>
        <w:spacing w:after="120" w:line="360" w:lineRule="auto"/>
        <w:jc w:val="both"/>
        <w:rPr>
          <w:rFonts w:ascii="Arial" w:hAnsi="Arial" w:cs="Arial"/>
          <w:sz w:val="24"/>
        </w:rPr>
      </w:pPr>
      <w:r w:rsidRPr="006C0F0B">
        <w:rPr>
          <w:rFonts w:ascii="Arial" w:hAnsi="Arial" w:cs="Arial"/>
          <w:b/>
          <w:sz w:val="24"/>
        </w:rPr>
        <w:t>Drugie spotkanie konsultacyjne</w:t>
      </w:r>
      <w:r>
        <w:rPr>
          <w:rFonts w:ascii="Arial" w:hAnsi="Arial" w:cs="Arial"/>
          <w:sz w:val="24"/>
        </w:rPr>
        <w:t xml:space="preserve"> </w:t>
      </w:r>
      <w:r w:rsidR="00445E86">
        <w:rPr>
          <w:rFonts w:ascii="Arial" w:hAnsi="Arial" w:cs="Arial"/>
          <w:sz w:val="24"/>
        </w:rPr>
        <w:t xml:space="preserve">(13 lipca 2015 r. w Urzędzie Miasta Siedlce) </w:t>
      </w:r>
      <w:r>
        <w:rPr>
          <w:rFonts w:ascii="Arial" w:hAnsi="Arial" w:cs="Arial"/>
          <w:sz w:val="24"/>
        </w:rPr>
        <w:t>odb</w:t>
      </w:r>
      <w:r>
        <w:rPr>
          <w:rFonts w:ascii="Arial" w:hAnsi="Arial" w:cs="Arial"/>
          <w:sz w:val="24"/>
        </w:rPr>
        <w:t>y</w:t>
      </w:r>
      <w:r>
        <w:rPr>
          <w:rFonts w:ascii="Arial" w:hAnsi="Arial" w:cs="Arial"/>
          <w:sz w:val="24"/>
        </w:rPr>
        <w:t xml:space="preserve">ło się w podobnym gronie </w:t>
      </w:r>
      <w:r w:rsidR="00F3650D">
        <w:rPr>
          <w:rFonts w:ascii="Arial" w:hAnsi="Arial" w:cs="Arial"/>
          <w:sz w:val="24"/>
        </w:rPr>
        <w:t xml:space="preserve">(ok. 60 osób) </w:t>
      </w:r>
      <w:r>
        <w:rPr>
          <w:rFonts w:ascii="Arial" w:hAnsi="Arial" w:cs="Arial"/>
          <w:sz w:val="24"/>
        </w:rPr>
        <w:t>i również składało się z dwóch części (anal</w:t>
      </w:r>
      <w:r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lastRenderedPageBreak/>
        <w:t xml:space="preserve">gicznie do poprzedniego). </w:t>
      </w:r>
      <w:r w:rsidR="00445E86">
        <w:rPr>
          <w:rFonts w:ascii="Arial" w:hAnsi="Arial" w:cs="Arial"/>
          <w:sz w:val="24"/>
        </w:rPr>
        <w:t>Tym razem celem była ocena zaproponowanej wizji i c</w:t>
      </w:r>
      <w:r w:rsidR="00445E86">
        <w:rPr>
          <w:rFonts w:ascii="Arial" w:hAnsi="Arial" w:cs="Arial"/>
          <w:sz w:val="24"/>
        </w:rPr>
        <w:t>e</w:t>
      </w:r>
      <w:r w:rsidR="00445E86">
        <w:rPr>
          <w:rFonts w:ascii="Arial" w:hAnsi="Arial" w:cs="Arial"/>
          <w:sz w:val="24"/>
        </w:rPr>
        <w:t xml:space="preserve">lów rozwojowych miasta. </w:t>
      </w:r>
      <w:r w:rsidR="005313F6">
        <w:rPr>
          <w:rFonts w:ascii="Arial" w:hAnsi="Arial" w:cs="Arial"/>
          <w:sz w:val="24"/>
        </w:rPr>
        <w:t>Zanim jednak zostały one zaprezentowane, dokonano po</w:t>
      </w:r>
      <w:r w:rsidR="005313F6">
        <w:rPr>
          <w:rFonts w:ascii="Arial" w:hAnsi="Arial" w:cs="Arial"/>
          <w:sz w:val="24"/>
        </w:rPr>
        <w:t>d</w:t>
      </w:r>
      <w:r w:rsidR="005313F6">
        <w:rPr>
          <w:rFonts w:ascii="Arial" w:hAnsi="Arial" w:cs="Arial"/>
          <w:sz w:val="24"/>
        </w:rPr>
        <w:t>sumowania wyników warsztatu</w:t>
      </w:r>
      <w:r w:rsidR="00F3650D">
        <w:rPr>
          <w:rFonts w:ascii="Arial" w:hAnsi="Arial" w:cs="Arial"/>
          <w:sz w:val="24"/>
        </w:rPr>
        <w:t xml:space="preserve"> z 15 czerwca</w:t>
      </w:r>
      <w:r w:rsidR="005313F6">
        <w:rPr>
          <w:rFonts w:ascii="Arial" w:hAnsi="Arial" w:cs="Arial"/>
          <w:sz w:val="24"/>
        </w:rPr>
        <w:t xml:space="preserve"> (rangowanie czynników rozwojowych)</w:t>
      </w:r>
      <w:r w:rsidR="00F3650D">
        <w:rPr>
          <w:rFonts w:ascii="Arial" w:hAnsi="Arial" w:cs="Arial"/>
          <w:sz w:val="24"/>
        </w:rPr>
        <w:t>, a także zapoznano uczestników z wynikami</w:t>
      </w:r>
      <w:r w:rsidR="005313F6">
        <w:rPr>
          <w:rFonts w:ascii="Arial" w:hAnsi="Arial" w:cs="Arial"/>
          <w:sz w:val="24"/>
        </w:rPr>
        <w:t xml:space="preserve"> analiz</w:t>
      </w:r>
      <w:r w:rsidR="00F3650D">
        <w:rPr>
          <w:rFonts w:ascii="Arial" w:hAnsi="Arial" w:cs="Arial"/>
          <w:sz w:val="24"/>
        </w:rPr>
        <w:t>y</w:t>
      </w:r>
      <w:r w:rsidR="005313F6">
        <w:rPr>
          <w:rFonts w:ascii="Arial" w:hAnsi="Arial" w:cs="Arial"/>
          <w:sz w:val="24"/>
        </w:rPr>
        <w:t xml:space="preserve"> SWOT/TWOS</w:t>
      </w:r>
      <w:r w:rsidR="00F3650D">
        <w:rPr>
          <w:rFonts w:ascii="Arial" w:hAnsi="Arial" w:cs="Arial"/>
          <w:sz w:val="24"/>
        </w:rPr>
        <w:t>, która była kole</w:t>
      </w:r>
      <w:r w:rsidR="00F3650D">
        <w:rPr>
          <w:rFonts w:ascii="Arial" w:hAnsi="Arial" w:cs="Arial"/>
          <w:sz w:val="24"/>
        </w:rPr>
        <w:t>j</w:t>
      </w:r>
      <w:r w:rsidR="00F3650D">
        <w:rPr>
          <w:rFonts w:ascii="Arial" w:hAnsi="Arial" w:cs="Arial"/>
          <w:sz w:val="24"/>
        </w:rPr>
        <w:t>nym etapem syntetyzacji ustaleń diagnostycznych, a jednocześnie pierwszym dot</w:t>
      </w:r>
      <w:r w:rsidR="00F3650D">
        <w:rPr>
          <w:rFonts w:ascii="Arial" w:hAnsi="Arial" w:cs="Arial"/>
          <w:sz w:val="24"/>
        </w:rPr>
        <w:t>y</w:t>
      </w:r>
      <w:r w:rsidR="00F3650D">
        <w:rPr>
          <w:rFonts w:ascii="Arial" w:hAnsi="Arial" w:cs="Arial"/>
          <w:sz w:val="24"/>
        </w:rPr>
        <w:t>czącym tzw. części postulatywnej Strategii. Następnie przystąpiono do dyskusji nad zaprezentowaną propozycją i zgłaszania uwag. Podczas trwających ok. 2 godziny rozmów zwrócono uwagę na kilka kwestii, w tym m.in. dotyczących turystyki i rekre</w:t>
      </w:r>
      <w:r w:rsidR="00F3650D">
        <w:rPr>
          <w:rFonts w:ascii="Arial" w:hAnsi="Arial" w:cs="Arial"/>
          <w:sz w:val="24"/>
        </w:rPr>
        <w:t>a</w:t>
      </w:r>
      <w:r w:rsidR="00F3650D">
        <w:rPr>
          <w:rFonts w:ascii="Arial" w:hAnsi="Arial" w:cs="Arial"/>
          <w:sz w:val="24"/>
        </w:rPr>
        <w:t>cji (również pod kątem integracji oferty sportowo-kulturalnej miasta z dużym pote</w:t>
      </w:r>
      <w:r w:rsidR="00F3650D">
        <w:rPr>
          <w:rFonts w:ascii="Arial" w:hAnsi="Arial" w:cs="Arial"/>
          <w:sz w:val="24"/>
        </w:rPr>
        <w:t>n</w:t>
      </w:r>
      <w:r w:rsidR="00F3650D">
        <w:rPr>
          <w:rFonts w:ascii="Arial" w:hAnsi="Arial" w:cs="Arial"/>
          <w:sz w:val="24"/>
        </w:rPr>
        <w:t>cjałem terenów zielonych), szkolnictwa wyższego (propozycja dopisania nowego c</w:t>
      </w:r>
      <w:r w:rsidR="00F3650D">
        <w:rPr>
          <w:rFonts w:ascii="Arial" w:hAnsi="Arial" w:cs="Arial"/>
          <w:sz w:val="24"/>
        </w:rPr>
        <w:t>e</w:t>
      </w:r>
      <w:r w:rsidR="00F3650D">
        <w:rPr>
          <w:rFonts w:ascii="Arial" w:hAnsi="Arial" w:cs="Arial"/>
          <w:sz w:val="24"/>
        </w:rPr>
        <w:t>lu)</w:t>
      </w:r>
      <w:r w:rsidR="006C0F0B">
        <w:rPr>
          <w:rFonts w:ascii="Arial" w:hAnsi="Arial" w:cs="Arial"/>
          <w:sz w:val="24"/>
        </w:rPr>
        <w:t>, budownictwa mieszkaniowego, infrastruktury obsługi biznesu oraz atrakcyjności inwestycyjnej. Ponadto wniesiono kilka uwag technicznych prowadzących do sprec</w:t>
      </w:r>
      <w:r w:rsidR="006C0F0B">
        <w:rPr>
          <w:rFonts w:ascii="Arial" w:hAnsi="Arial" w:cs="Arial"/>
          <w:sz w:val="24"/>
        </w:rPr>
        <w:t>y</w:t>
      </w:r>
      <w:r w:rsidR="006C0F0B">
        <w:rPr>
          <w:rFonts w:ascii="Arial" w:hAnsi="Arial" w:cs="Arial"/>
          <w:sz w:val="24"/>
        </w:rPr>
        <w:t>zowania zaproponowanych celów oraz ich nieznacznej modyfikacji.</w:t>
      </w:r>
    </w:p>
    <w:p w:rsidR="006C0F0B" w:rsidRDefault="006C0F0B" w:rsidP="002D76F0">
      <w:pPr>
        <w:spacing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Wyniki obu spotkań warsztatowych przyczyniły się</w:t>
      </w:r>
      <w:r w:rsidRPr="006C0F0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istotnie do ostatecznego kształtu projektu Strategii, który po raz pierwszy zaprezentowano podczas </w:t>
      </w:r>
      <w:r w:rsidRPr="006C0F0B">
        <w:rPr>
          <w:rFonts w:ascii="Arial" w:hAnsi="Arial" w:cs="Arial"/>
          <w:b/>
          <w:sz w:val="24"/>
        </w:rPr>
        <w:t>otwartego sp</w:t>
      </w:r>
      <w:r w:rsidRPr="006C0F0B">
        <w:rPr>
          <w:rFonts w:ascii="Arial" w:hAnsi="Arial" w:cs="Arial"/>
          <w:b/>
          <w:sz w:val="24"/>
        </w:rPr>
        <w:t>o</w:t>
      </w:r>
      <w:r w:rsidRPr="006C0F0B">
        <w:rPr>
          <w:rFonts w:ascii="Arial" w:hAnsi="Arial" w:cs="Arial"/>
          <w:b/>
          <w:sz w:val="24"/>
        </w:rPr>
        <w:t>tkania konsultacyjnego</w:t>
      </w:r>
      <w:r>
        <w:rPr>
          <w:rFonts w:ascii="Arial" w:hAnsi="Arial" w:cs="Arial"/>
          <w:sz w:val="24"/>
        </w:rPr>
        <w:t xml:space="preserve"> 30 września 2015 r. w Urzędzie Miasta Siedlce</w:t>
      </w:r>
      <w:r w:rsidR="00BF040A">
        <w:rPr>
          <w:rFonts w:ascii="Arial" w:hAnsi="Arial" w:cs="Arial"/>
          <w:sz w:val="24"/>
        </w:rPr>
        <w:t xml:space="preserve"> (uczestn</w:t>
      </w:r>
      <w:r w:rsidR="00BF040A">
        <w:rPr>
          <w:rFonts w:ascii="Arial" w:hAnsi="Arial" w:cs="Arial"/>
          <w:sz w:val="24"/>
        </w:rPr>
        <w:t>i</w:t>
      </w:r>
      <w:r w:rsidR="00BF040A">
        <w:rPr>
          <w:rFonts w:ascii="Arial" w:hAnsi="Arial" w:cs="Arial"/>
          <w:sz w:val="24"/>
        </w:rPr>
        <w:t>czyło w nim ok. 30 osób)</w:t>
      </w:r>
      <w:r>
        <w:rPr>
          <w:rFonts w:ascii="Arial" w:hAnsi="Arial" w:cs="Arial"/>
          <w:sz w:val="24"/>
        </w:rPr>
        <w:t xml:space="preserve">. </w:t>
      </w:r>
      <w:r w:rsidR="0070212F">
        <w:rPr>
          <w:rFonts w:ascii="Arial" w:hAnsi="Arial" w:cs="Arial"/>
          <w:sz w:val="24"/>
        </w:rPr>
        <w:t>Organizację spotkania poprzedziła k</w:t>
      </w:r>
      <w:r w:rsidR="00C04356">
        <w:rPr>
          <w:rFonts w:ascii="Arial" w:hAnsi="Arial" w:cs="Arial"/>
          <w:sz w:val="24"/>
        </w:rPr>
        <w:t>a</w:t>
      </w:r>
      <w:r w:rsidR="0070212F">
        <w:rPr>
          <w:rFonts w:ascii="Arial" w:hAnsi="Arial" w:cs="Arial"/>
          <w:sz w:val="24"/>
        </w:rPr>
        <w:t xml:space="preserve">mpania informacyjna polegająca na zamieszczeniu ogłoszeń o spotkaniu i konsultacjach społecznych na stronach internetowych Miasta oraz w prasie lokalnej. </w:t>
      </w:r>
      <w:r w:rsidR="00BF040A">
        <w:rPr>
          <w:rFonts w:ascii="Arial" w:hAnsi="Arial" w:cs="Arial"/>
          <w:sz w:val="24"/>
        </w:rPr>
        <w:t>Podczas spotkania p</w:t>
      </w:r>
      <w:r>
        <w:rPr>
          <w:rFonts w:ascii="Arial" w:hAnsi="Arial" w:cs="Arial"/>
          <w:sz w:val="24"/>
        </w:rPr>
        <w:t>rzedst</w:t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wiono poszczególne etapy procesu diagnozowania oraz </w:t>
      </w:r>
      <w:r w:rsidR="00BF040A">
        <w:rPr>
          <w:rFonts w:ascii="Arial" w:hAnsi="Arial" w:cs="Arial"/>
          <w:sz w:val="24"/>
        </w:rPr>
        <w:t>wizję, cele i działania rozw</w:t>
      </w:r>
      <w:r w:rsidR="00BF040A">
        <w:rPr>
          <w:rFonts w:ascii="Arial" w:hAnsi="Arial" w:cs="Arial"/>
          <w:sz w:val="24"/>
        </w:rPr>
        <w:t>o</w:t>
      </w:r>
      <w:r w:rsidR="00BF040A">
        <w:rPr>
          <w:rFonts w:ascii="Arial" w:hAnsi="Arial" w:cs="Arial"/>
          <w:sz w:val="24"/>
        </w:rPr>
        <w:t>jowe dla Siedlec do 2025 r. Następnie przystąpiono do dyskusji</w:t>
      </w:r>
      <w:r w:rsidR="00B24146">
        <w:rPr>
          <w:rFonts w:ascii="Arial" w:hAnsi="Arial" w:cs="Arial"/>
          <w:sz w:val="24"/>
        </w:rPr>
        <w:t>.</w:t>
      </w:r>
      <w:r w:rsidR="00BF040A">
        <w:rPr>
          <w:rFonts w:ascii="Arial" w:hAnsi="Arial" w:cs="Arial"/>
          <w:sz w:val="24"/>
        </w:rPr>
        <w:t xml:space="preserve"> Podczas niej zwr</w:t>
      </w:r>
      <w:r w:rsidR="00BF040A">
        <w:rPr>
          <w:rFonts w:ascii="Arial" w:hAnsi="Arial" w:cs="Arial"/>
          <w:sz w:val="24"/>
        </w:rPr>
        <w:t>ó</w:t>
      </w:r>
      <w:r w:rsidR="00BF040A">
        <w:rPr>
          <w:rFonts w:ascii="Arial" w:hAnsi="Arial" w:cs="Arial"/>
          <w:sz w:val="24"/>
        </w:rPr>
        <w:t>cono uwagę na kilka technicznych błędów i merytorycznych nieścisłości w tekście projektu Strategii</w:t>
      </w:r>
      <w:r w:rsidR="00B24146">
        <w:rPr>
          <w:rFonts w:ascii="Arial" w:hAnsi="Arial" w:cs="Arial"/>
          <w:sz w:val="24"/>
        </w:rPr>
        <w:t>,</w:t>
      </w:r>
      <w:r w:rsidR="00BF040A">
        <w:rPr>
          <w:rFonts w:ascii="Arial" w:hAnsi="Arial" w:cs="Arial"/>
          <w:sz w:val="24"/>
        </w:rPr>
        <w:t xml:space="preserve"> podkreślając również potrzebę całościowego przeglądu dokumentu pod tym kątem. Pojawiły się także uwagi sugerujące zmiany i większe podkreślenie kwestii środowiska przyrodniczego i obszarów chronionych w planowanych celach </w:t>
      </w:r>
      <w:r w:rsidR="00B24146">
        <w:rPr>
          <w:rFonts w:ascii="Arial" w:hAnsi="Arial" w:cs="Arial"/>
          <w:sz w:val="24"/>
        </w:rPr>
        <w:br/>
      </w:r>
      <w:r w:rsidR="00BF040A">
        <w:rPr>
          <w:rFonts w:ascii="Arial" w:hAnsi="Arial" w:cs="Arial"/>
          <w:sz w:val="24"/>
        </w:rPr>
        <w:t>i działaniach. Ponadto, zwrócono uwagę na specyfikę budownictwa mieszkaniowego oraz związki i różnice pomiędzy prywatnym i publicznym inwestowaniem w tym se</w:t>
      </w:r>
      <w:r w:rsidR="00BF040A">
        <w:rPr>
          <w:rFonts w:ascii="Arial" w:hAnsi="Arial" w:cs="Arial"/>
          <w:sz w:val="24"/>
        </w:rPr>
        <w:t>k</w:t>
      </w:r>
      <w:r w:rsidR="00BF040A">
        <w:rPr>
          <w:rFonts w:ascii="Arial" w:hAnsi="Arial" w:cs="Arial"/>
          <w:sz w:val="24"/>
        </w:rPr>
        <w:t xml:space="preserve">torze. </w:t>
      </w:r>
      <w:r w:rsidR="00C04356">
        <w:rPr>
          <w:rFonts w:ascii="Arial" w:hAnsi="Arial" w:cs="Arial"/>
          <w:sz w:val="24"/>
        </w:rPr>
        <w:t>Reasumując spotkanie stwierdzono</w:t>
      </w:r>
      <w:r w:rsidR="00BF040A">
        <w:rPr>
          <w:rFonts w:ascii="Arial" w:hAnsi="Arial" w:cs="Arial"/>
          <w:sz w:val="24"/>
        </w:rPr>
        <w:t>, że dokument został opracowany według powsz</w:t>
      </w:r>
      <w:r w:rsidR="0070212F">
        <w:rPr>
          <w:rFonts w:ascii="Arial" w:hAnsi="Arial" w:cs="Arial"/>
          <w:sz w:val="24"/>
        </w:rPr>
        <w:t xml:space="preserve">echnie akceptowanej, </w:t>
      </w:r>
      <w:r w:rsidR="00BF040A">
        <w:rPr>
          <w:rFonts w:ascii="Arial" w:hAnsi="Arial" w:cs="Arial"/>
          <w:sz w:val="24"/>
        </w:rPr>
        <w:t xml:space="preserve">dobrze zrealizowanej metodologii </w:t>
      </w:r>
      <w:r w:rsidR="0070212F">
        <w:rPr>
          <w:rFonts w:ascii="Arial" w:hAnsi="Arial" w:cs="Arial"/>
          <w:sz w:val="24"/>
        </w:rPr>
        <w:t>i może się w najbli</w:t>
      </w:r>
      <w:r w:rsidR="0070212F">
        <w:rPr>
          <w:rFonts w:ascii="Arial" w:hAnsi="Arial" w:cs="Arial"/>
          <w:sz w:val="24"/>
        </w:rPr>
        <w:t>ż</w:t>
      </w:r>
      <w:r w:rsidR="0070212F">
        <w:rPr>
          <w:rFonts w:ascii="Arial" w:hAnsi="Arial" w:cs="Arial"/>
          <w:sz w:val="24"/>
        </w:rPr>
        <w:t>szej perspektywie przyczynić do stymulowania pozytywnych efektów rozwojowych w mieście.</w:t>
      </w:r>
    </w:p>
    <w:p w:rsidR="00B13E58" w:rsidRDefault="008346A1" w:rsidP="0070212F">
      <w:pPr>
        <w:spacing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Jednocześnie odbywały się</w:t>
      </w:r>
      <w:r w:rsidR="0070212F">
        <w:rPr>
          <w:rFonts w:ascii="Arial" w:hAnsi="Arial" w:cs="Arial"/>
          <w:sz w:val="24"/>
        </w:rPr>
        <w:t xml:space="preserve"> </w:t>
      </w:r>
      <w:r w:rsidR="0070212F" w:rsidRPr="0070212F">
        <w:rPr>
          <w:rFonts w:ascii="Arial" w:hAnsi="Arial" w:cs="Arial"/>
          <w:b/>
          <w:sz w:val="24"/>
        </w:rPr>
        <w:t>konsultacje internetowe</w:t>
      </w:r>
      <w:r w:rsidR="0070212F">
        <w:rPr>
          <w:rFonts w:ascii="Arial" w:hAnsi="Arial" w:cs="Arial"/>
          <w:b/>
          <w:sz w:val="24"/>
        </w:rPr>
        <w:t xml:space="preserve"> i bezpośrednie</w:t>
      </w:r>
      <w:r w:rsidR="0070212F" w:rsidRPr="0070212F">
        <w:rPr>
          <w:rFonts w:ascii="Arial" w:hAnsi="Arial" w:cs="Arial"/>
          <w:sz w:val="24"/>
        </w:rPr>
        <w:t xml:space="preserve"> obejmujące ocenę poszczególnych celów rozwojowych pod kątem identyfikacji priorytetów rozw</w:t>
      </w:r>
      <w:r w:rsidR="0070212F" w:rsidRPr="0070212F">
        <w:rPr>
          <w:rFonts w:ascii="Arial" w:hAnsi="Arial" w:cs="Arial"/>
          <w:sz w:val="24"/>
        </w:rPr>
        <w:t>o</w:t>
      </w:r>
      <w:r w:rsidR="0070212F" w:rsidRPr="0070212F">
        <w:rPr>
          <w:rFonts w:ascii="Arial" w:hAnsi="Arial" w:cs="Arial"/>
          <w:sz w:val="24"/>
        </w:rPr>
        <w:lastRenderedPageBreak/>
        <w:t>jowych dla miasta</w:t>
      </w:r>
      <w:r w:rsidR="0070212F">
        <w:rPr>
          <w:rFonts w:ascii="Arial" w:hAnsi="Arial" w:cs="Arial"/>
          <w:sz w:val="24"/>
        </w:rPr>
        <w:t xml:space="preserve">. Ich istotą była ocena przez mieszkańców i interesariuszy każdego z celów szczegółowych i wybór jednej z pięciu kategorii odpowiedzi: (1) </w:t>
      </w:r>
      <w:r w:rsidR="0070212F" w:rsidRPr="0070212F">
        <w:rPr>
          <w:rFonts w:ascii="Arial" w:hAnsi="Arial" w:cs="Arial"/>
          <w:sz w:val="24"/>
        </w:rPr>
        <w:t>Zdecydow</w:t>
      </w:r>
      <w:r w:rsidR="0070212F" w:rsidRPr="0070212F">
        <w:rPr>
          <w:rFonts w:ascii="Arial" w:hAnsi="Arial" w:cs="Arial"/>
          <w:sz w:val="24"/>
        </w:rPr>
        <w:t>a</w:t>
      </w:r>
      <w:r w:rsidR="0070212F" w:rsidRPr="0070212F">
        <w:rPr>
          <w:rFonts w:ascii="Arial" w:hAnsi="Arial" w:cs="Arial"/>
          <w:sz w:val="24"/>
        </w:rPr>
        <w:t>nie zgadzam się, że taki cel powinien być realizowany priorytetow</w:t>
      </w:r>
      <w:r w:rsidR="0070212F">
        <w:rPr>
          <w:rFonts w:ascii="Arial" w:hAnsi="Arial" w:cs="Arial"/>
          <w:sz w:val="24"/>
        </w:rPr>
        <w:t xml:space="preserve">o, (2) </w:t>
      </w:r>
      <w:r w:rsidR="0070212F" w:rsidRPr="0070212F">
        <w:rPr>
          <w:rFonts w:ascii="Arial" w:hAnsi="Arial" w:cs="Arial"/>
          <w:sz w:val="24"/>
        </w:rPr>
        <w:t>Raczej zg</w:t>
      </w:r>
      <w:r w:rsidR="0070212F" w:rsidRPr="0070212F">
        <w:rPr>
          <w:rFonts w:ascii="Arial" w:hAnsi="Arial" w:cs="Arial"/>
          <w:sz w:val="24"/>
        </w:rPr>
        <w:t>a</w:t>
      </w:r>
      <w:r w:rsidR="0070212F" w:rsidRPr="0070212F">
        <w:rPr>
          <w:rFonts w:ascii="Arial" w:hAnsi="Arial" w:cs="Arial"/>
          <w:sz w:val="24"/>
        </w:rPr>
        <w:t>dzam się, że taki cel powinien być realizowany ale nie priorytetowo,</w:t>
      </w:r>
      <w:r w:rsidR="0070212F">
        <w:rPr>
          <w:rFonts w:ascii="Arial" w:hAnsi="Arial" w:cs="Arial"/>
          <w:sz w:val="24"/>
        </w:rPr>
        <w:t xml:space="preserve"> (3) </w:t>
      </w:r>
      <w:r w:rsidR="0070212F" w:rsidRPr="0070212F">
        <w:rPr>
          <w:rFonts w:ascii="Arial" w:hAnsi="Arial" w:cs="Arial"/>
          <w:sz w:val="24"/>
        </w:rPr>
        <w:t>Raczej nie zgadzam się, że taki cel powinien być realizowany w perspektywie 2025 r.,</w:t>
      </w:r>
      <w:r w:rsidR="0070212F">
        <w:rPr>
          <w:rFonts w:ascii="Arial" w:hAnsi="Arial" w:cs="Arial"/>
          <w:sz w:val="24"/>
        </w:rPr>
        <w:t xml:space="preserve"> (4) </w:t>
      </w:r>
      <w:r w:rsidR="0070212F" w:rsidRPr="0070212F">
        <w:rPr>
          <w:rFonts w:ascii="Arial" w:hAnsi="Arial" w:cs="Arial"/>
          <w:sz w:val="24"/>
        </w:rPr>
        <w:t>Nie zgadzam się, aby taki cel był w ogóle realizowany,</w:t>
      </w:r>
      <w:r w:rsidR="0070212F">
        <w:rPr>
          <w:rFonts w:ascii="Arial" w:hAnsi="Arial" w:cs="Arial"/>
          <w:sz w:val="24"/>
        </w:rPr>
        <w:t xml:space="preserve"> (5) </w:t>
      </w:r>
      <w:r w:rsidR="0070212F" w:rsidRPr="0070212F">
        <w:rPr>
          <w:rFonts w:ascii="Arial" w:hAnsi="Arial" w:cs="Arial"/>
          <w:sz w:val="24"/>
        </w:rPr>
        <w:t>Nie mam zdania.</w:t>
      </w:r>
      <w:r w:rsidR="0070212F">
        <w:rPr>
          <w:rFonts w:ascii="Arial" w:hAnsi="Arial" w:cs="Arial"/>
          <w:sz w:val="24"/>
        </w:rPr>
        <w:t xml:space="preserve"> Responde</w:t>
      </w:r>
      <w:r w:rsidR="0070212F">
        <w:rPr>
          <w:rFonts w:ascii="Arial" w:hAnsi="Arial" w:cs="Arial"/>
          <w:sz w:val="24"/>
        </w:rPr>
        <w:t>n</w:t>
      </w:r>
      <w:r w:rsidR="0070212F">
        <w:rPr>
          <w:rFonts w:ascii="Arial" w:hAnsi="Arial" w:cs="Arial"/>
          <w:sz w:val="24"/>
        </w:rPr>
        <w:t>tów uczestniczących w tym etapie konsultacji pozyskiwano drogą internetową oraz poprzez bezpośredni kontakt w trakcie spotkania konsultacyjnego 30 września. W ten sposób pozyskano 35 wypełnionych kwestionariuszy</w:t>
      </w:r>
      <w:r w:rsidR="00AA3CAA">
        <w:rPr>
          <w:rFonts w:ascii="Arial" w:hAnsi="Arial" w:cs="Arial"/>
          <w:sz w:val="24"/>
        </w:rPr>
        <w:t xml:space="preserve"> odpowiedzi. Wszystkie z zapr</w:t>
      </w:r>
      <w:r w:rsidR="00AA3CAA">
        <w:rPr>
          <w:rFonts w:ascii="Arial" w:hAnsi="Arial" w:cs="Arial"/>
          <w:sz w:val="24"/>
        </w:rPr>
        <w:t>o</w:t>
      </w:r>
      <w:r w:rsidR="00AA3CAA">
        <w:rPr>
          <w:rFonts w:ascii="Arial" w:hAnsi="Arial" w:cs="Arial"/>
          <w:sz w:val="24"/>
        </w:rPr>
        <w:t>ponowanych celów szczegółowych w przeważającej większości uzyskały odpowiedzi w kategorii pierwszej (</w:t>
      </w:r>
      <w:r w:rsidR="00B13E58">
        <w:rPr>
          <w:rFonts w:ascii="Arial" w:hAnsi="Arial" w:cs="Arial"/>
          <w:sz w:val="24"/>
        </w:rPr>
        <w:t>12 celów</w:t>
      </w:r>
      <w:r w:rsidR="007E6E88">
        <w:rPr>
          <w:rFonts w:ascii="Arial" w:hAnsi="Arial" w:cs="Arial"/>
          <w:sz w:val="24"/>
        </w:rPr>
        <w:t xml:space="preserve"> – tabela 1</w:t>
      </w:r>
      <w:r w:rsidR="00AA3CAA">
        <w:rPr>
          <w:rFonts w:ascii="Arial" w:hAnsi="Arial" w:cs="Arial"/>
          <w:sz w:val="24"/>
        </w:rPr>
        <w:t>) lub drugiej</w:t>
      </w:r>
      <w:r w:rsidR="007E6E88">
        <w:rPr>
          <w:rFonts w:ascii="Arial" w:hAnsi="Arial" w:cs="Arial"/>
          <w:sz w:val="24"/>
        </w:rPr>
        <w:t xml:space="preserve"> (15 celów – tabela 2)</w:t>
      </w:r>
      <w:r w:rsidR="00AA3CAA">
        <w:rPr>
          <w:rFonts w:ascii="Arial" w:hAnsi="Arial" w:cs="Arial"/>
          <w:sz w:val="24"/>
        </w:rPr>
        <w:t>.</w:t>
      </w:r>
      <w:r w:rsidR="007E6E88">
        <w:rPr>
          <w:rFonts w:ascii="Arial" w:hAnsi="Arial" w:cs="Arial"/>
          <w:sz w:val="24"/>
        </w:rPr>
        <w:t xml:space="preserve"> W świ</w:t>
      </w:r>
      <w:r w:rsidR="007E6E88">
        <w:rPr>
          <w:rFonts w:ascii="Arial" w:hAnsi="Arial" w:cs="Arial"/>
          <w:sz w:val="24"/>
        </w:rPr>
        <w:t>e</w:t>
      </w:r>
      <w:r w:rsidR="007E6E88">
        <w:rPr>
          <w:rFonts w:ascii="Arial" w:hAnsi="Arial" w:cs="Arial"/>
          <w:sz w:val="24"/>
        </w:rPr>
        <w:t xml:space="preserve">tle uzyskanych wyników za najważniejsze cele rozwojowe uznano: (1) </w:t>
      </w:r>
      <w:r w:rsidR="007E6E88" w:rsidRPr="007E6E88">
        <w:rPr>
          <w:rFonts w:ascii="Arial" w:hAnsi="Arial" w:cs="Arial"/>
          <w:sz w:val="24"/>
        </w:rPr>
        <w:t>Podejmowanie działań służących pozyskiwaniu inwestorów</w:t>
      </w:r>
      <w:r w:rsidR="007E6E88">
        <w:rPr>
          <w:rFonts w:ascii="Arial" w:hAnsi="Arial" w:cs="Arial"/>
          <w:sz w:val="24"/>
        </w:rPr>
        <w:t xml:space="preserve">, (2) </w:t>
      </w:r>
      <w:r w:rsidR="007E6E88" w:rsidRPr="007E6E88">
        <w:rPr>
          <w:rFonts w:ascii="Arial" w:hAnsi="Arial" w:cs="Arial"/>
          <w:sz w:val="24"/>
        </w:rPr>
        <w:t>Wspieranie rozwoju lokalnej prze</w:t>
      </w:r>
      <w:r w:rsidR="007E6E88" w:rsidRPr="007E6E88">
        <w:rPr>
          <w:rFonts w:ascii="Arial" w:hAnsi="Arial" w:cs="Arial"/>
          <w:sz w:val="24"/>
        </w:rPr>
        <w:t>d</w:t>
      </w:r>
      <w:r w:rsidR="007E6E88" w:rsidRPr="007E6E88">
        <w:rPr>
          <w:rFonts w:ascii="Arial" w:hAnsi="Arial" w:cs="Arial"/>
          <w:sz w:val="24"/>
        </w:rPr>
        <w:t>siębiorczości</w:t>
      </w:r>
      <w:r w:rsidR="007E6E88">
        <w:rPr>
          <w:rFonts w:ascii="Arial" w:hAnsi="Arial" w:cs="Arial"/>
          <w:sz w:val="24"/>
        </w:rPr>
        <w:t>, (3) Rozbudowę i modernizację</w:t>
      </w:r>
      <w:r w:rsidR="007E6E88" w:rsidRPr="007E6E88">
        <w:rPr>
          <w:rFonts w:ascii="Arial" w:hAnsi="Arial" w:cs="Arial"/>
          <w:sz w:val="24"/>
        </w:rPr>
        <w:t xml:space="preserve"> systemu dróg lokalnych i subregiona</w:t>
      </w:r>
      <w:r w:rsidR="007E6E88" w:rsidRPr="007E6E88">
        <w:rPr>
          <w:rFonts w:ascii="Arial" w:hAnsi="Arial" w:cs="Arial"/>
          <w:sz w:val="24"/>
        </w:rPr>
        <w:t>l</w:t>
      </w:r>
      <w:r w:rsidR="007E6E88" w:rsidRPr="007E6E88">
        <w:rPr>
          <w:rFonts w:ascii="Arial" w:hAnsi="Arial" w:cs="Arial"/>
          <w:sz w:val="24"/>
        </w:rPr>
        <w:t>nych</w:t>
      </w:r>
      <w:r w:rsidR="007E6E88">
        <w:rPr>
          <w:rFonts w:ascii="Arial" w:hAnsi="Arial" w:cs="Arial"/>
          <w:sz w:val="24"/>
        </w:rPr>
        <w:t xml:space="preserve"> oraz (4) </w:t>
      </w:r>
      <w:r w:rsidR="007E6E88" w:rsidRPr="007E6E88">
        <w:rPr>
          <w:rFonts w:ascii="Arial" w:hAnsi="Arial" w:cs="Arial"/>
          <w:sz w:val="24"/>
        </w:rPr>
        <w:t>Rozwój nowoczesnej infrastruktury teleinformatycznej</w:t>
      </w:r>
      <w:r w:rsidR="007E6E88">
        <w:rPr>
          <w:rFonts w:ascii="Arial" w:hAnsi="Arial" w:cs="Arial"/>
          <w:sz w:val="24"/>
        </w:rPr>
        <w:t>. Natomiast za relatywnie najmniej ważne: (1) Organizację</w:t>
      </w:r>
      <w:r w:rsidR="007E6E88" w:rsidRPr="007E6E88">
        <w:rPr>
          <w:rFonts w:ascii="Arial" w:hAnsi="Arial" w:cs="Arial"/>
          <w:sz w:val="24"/>
        </w:rPr>
        <w:t xml:space="preserve"> i wspieranie inicjatyw artystycznych i sportowych o zasięgu regionalnym, krajowym i międzynarodowym</w:t>
      </w:r>
      <w:r w:rsidR="007E6E88">
        <w:rPr>
          <w:rFonts w:ascii="Arial" w:hAnsi="Arial" w:cs="Arial"/>
          <w:sz w:val="24"/>
        </w:rPr>
        <w:t xml:space="preserve">, (2) </w:t>
      </w:r>
      <w:r w:rsidR="007E6E88" w:rsidRPr="007E6E88">
        <w:rPr>
          <w:rFonts w:ascii="Arial" w:hAnsi="Arial" w:cs="Arial"/>
          <w:sz w:val="24"/>
        </w:rPr>
        <w:t>Rozwój tur</w:t>
      </w:r>
      <w:r w:rsidR="007E6E88" w:rsidRPr="007E6E88">
        <w:rPr>
          <w:rFonts w:ascii="Arial" w:hAnsi="Arial" w:cs="Arial"/>
          <w:sz w:val="24"/>
        </w:rPr>
        <w:t>y</w:t>
      </w:r>
      <w:r w:rsidR="007E6E88" w:rsidRPr="007E6E88">
        <w:rPr>
          <w:rFonts w:ascii="Arial" w:hAnsi="Arial" w:cs="Arial"/>
          <w:sz w:val="24"/>
        </w:rPr>
        <w:t>styki</w:t>
      </w:r>
      <w:r w:rsidR="007E6E88">
        <w:rPr>
          <w:rFonts w:ascii="Arial" w:hAnsi="Arial" w:cs="Arial"/>
          <w:sz w:val="24"/>
        </w:rPr>
        <w:t xml:space="preserve">, (3) </w:t>
      </w:r>
      <w:r w:rsidR="007E6E88" w:rsidRPr="007E6E88">
        <w:rPr>
          <w:rFonts w:ascii="Arial" w:hAnsi="Arial" w:cs="Arial"/>
          <w:sz w:val="24"/>
        </w:rPr>
        <w:t>Podniesienie poziomu usług z zakresu pomocy społecznej</w:t>
      </w:r>
      <w:r w:rsidR="007E6E88">
        <w:rPr>
          <w:rFonts w:ascii="Arial" w:hAnsi="Arial" w:cs="Arial"/>
          <w:sz w:val="24"/>
        </w:rPr>
        <w:t xml:space="preserve"> oraz (4) </w:t>
      </w:r>
      <w:r w:rsidR="007E6E88" w:rsidRPr="007E6E88">
        <w:rPr>
          <w:rFonts w:ascii="Arial" w:hAnsi="Arial" w:cs="Arial"/>
          <w:sz w:val="24"/>
        </w:rPr>
        <w:t>Rozwój budownictwa mieszkaniowego</w:t>
      </w:r>
      <w:r w:rsidR="007E6E88">
        <w:rPr>
          <w:rFonts w:ascii="Arial" w:hAnsi="Arial" w:cs="Arial"/>
          <w:sz w:val="24"/>
        </w:rPr>
        <w:t>.</w:t>
      </w:r>
    </w:p>
    <w:p w:rsidR="00B13E58" w:rsidRPr="00B13E58" w:rsidRDefault="00B13E58" w:rsidP="00B13E58">
      <w:pPr>
        <w:spacing w:after="0" w:line="24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Tabela 1. </w:t>
      </w:r>
      <w:r w:rsidRPr="00B13E58">
        <w:rPr>
          <w:rFonts w:ascii="Arial" w:hAnsi="Arial" w:cs="Arial"/>
          <w:sz w:val="18"/>
        </w:rPr>
        <w:t>Cele, które w przeważającej większości uzyskały ocenę „Zdecydowanie zgadzam się, że taki cel pow</w:t>
      </w:r>
      <w:r w:rsidRPr="00B13E58">
        <w:rPr>
          <w:rFonts w:ascii="Arial" w:hAnsi="Arial" w:cs="Arial"/>
          <w:sz w:val="18"/>
        </w:rPr>
        <w:t>i</w:t>
      </w:r>
      <w:r w:rsidRPr="00B13E58">
        <w:rPr>
          <w:rFonts w:ascii="Arial" w:hAnsi="Arial" w:cs="Arial"/>
          <w:sz w:val="18"/>
        </w:rPr>
        <w:t>nien być realizowany priorytetowo”.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1270"/>
      </w:tblGrid>
      <w:tr w:rsidR="00AA3CAA" w:rsidRPr="00AA3CAA" w:rsidTr="00B13E58">
        <w:trPr>
          <w:trHeight w:val="964"/>
        </w:trPr>
        <w:tc>
          <w:tcPr>
            <w:tcW w:w="7792" w:type="dxa"/>
            <w:vAlign w:val="center"/>
          </w:tcPr>
          <w:p w:rsidR="00AA3CAA" w:rsidRPr="00AA3CAA" w:rsidRDefault="00AA3CAA" w:rsidP="00AA3C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CAA">
              <w:rPr>
                <w:rFonts w:ascii="Arial" w:hAnsi="Arial" w:cs="Arial"/>
                <w:sz w:val="18"/>
                <w:szCs w:val="18"/>
              </w:rPr>
              <w:t>Cel</w:t>
            </w:r>
          </w:p>
        </w:tc>
        <w:tc>
          <w:tcPr>
            <w:tcW w:w="1270" w:type="dxa"/>
            <w:vAlign w:val="center"/>
          </w:tcPr>
          <w:p w:rsidR="00B13E58" w:rsidRDefault="00AA3CAA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CAA">
              <w:rPr>
                <w:rFonts w:ascii="Arial" w:hAnsi="Arial" w:cs="Arial"/>
                <w:sz w:val="18"/>
                <w:szCs w:val="18"/>
              </w:rPr>
              <w:t>C</w:t>
            </w:r>
            <w:r w:rsidR="00B13E58">
              <w:rPr>
                <w:rFonts w:ascii="Arial" w:hAnsi="Arial" w:cs="Arial"/>
                <w:sz w:val="18"/>
                <w:szCs w:val="18"/>
              </w:rPr>
              <w:t xml:space="preserve">zęstość </w:t>
            </w:r>
          </w:p>
          <w:p w:rsidR="00AA3CAA" w:rsidRPr="00AA3CAA" w:rsidRDefault="00B13E58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odpowiedzi (1)</w:t>
            </w:r>
          </w:p>
        </w:tc>
      </w:tr>
      <w:tr w:rsidR="00AA3CAA" w:rsidRPr="00AA3CAA" w:rsidTr="00B13E58">
        <w:trPr>
          <w:trHeight w:val="283"/>
        </w:trPr>
        <w:tc>
          <w:tcPr>
            <w:tcW w:w="7792" w:type="dxa"/>
            <w:vAlign w:val="center"/>
          </w:tcPr>
          <w:p w:rsidR="00AA3CAA" w:rsidRPr="00AA3CAA" w:rsidRDefault="00AA3CAA" w:rsidP="00AA3CAA">
            <w:pPr>
              <w:rPr>
                <w:rFonts w:ascii="Arial" w:hAnsi="Arial" w:cs="Arial"/>
                <w:sz w:val="18"/>
                <w:szCs w:val="18"/>
              </w:rPr>
            </w:pPr>
            <w:r w:rsidRPr="00AA3CAA">
              <w:rPr>
                <w:rFonts w:ascii="Arial" w:hAnsi="Arial" w:cs="Arial"/>
                <w:sz w:val="18"/>
                <w:szCs w:val="18"/>
              </w:rPr>
              <w:t>1.1. Podejmowanie działań służących pozyskiwaniu inwestorów</w:t>
            </w:r>
          </w:p>
        </w:tc>
        <w:tc>
          <w:tcPr>
            <w:tcW w:w="1270" w:type="dxa"/>
            <w:vAlign w:val="center"/>
          </w:tcPr>
          <w:p w:rsidR="00AA3CAA" w:rsidRPr="00AA3CAA" w:rsidRDefault="00AA3CAA" w:rsidP="00AA3C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A3CAA" w:rsidRPr="00AA3CAA" w:rsidTr="00B13E58">
        <w:trPr>
          <w:trHeight w:val="283"/>
        </w:trPr>
        <w:tc>
          <w:tcPr>
            <w:tcW w:w="7792" w:type="dxa"/>
            <w:vAlign w:val="center"/>
          </w:tcPr>
          <w:p w:rsidR="00AA3CAA" w:rsidRPr="00AA3CAA" w:rsidRDefault="00AA3CAA" w:rsidP="00AA3CAA">
            <w:pPr>
              <w:rPr>
                <w:rFonts w:ascii="Arial" w:hAnsi="Arial" w:cs="Arial"/>
                <w:sz w:val="18"/>
                <w:szCs w:val="18"/>
              </w:rPr>
            </w:pPr>
            <w:r w:rsidRPr="00AA3CAA">
              <w:rPr>
                <w:rFonts w:ascii="Arial" w:hAnsi="Arial" w:cs="Arial"/>
                <w:sz w:val="18"/>
                <w:szCs w:val="18"/>
              </w:rPr>
              <w:t>1.2. Wspieranie rozwoju lokalnej przedsiębiorczości</w:t>
            </w:r>
          </w:p>
        </w:tc>
        <w:tc>
          <w:tcPr>
            <w:tcW w:w="1270" w:type="dxa"/>
            <w:vAlign w:val="center"/>
          </w:tcPr>
          <w:p w:rsidR="00AA3CAA" w:rsidRDefault="00AA3CAA" w:rsidP="00AA3C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A3CAA" w:rsidRPr="00AA3CAA" w:rsidTr="00B13E58">
        <w:trPr>
          <w:trHeight w:val="283"/>
        </w:trPr>
        <w:tc>
          <w:tcPr>
            <w:tcW w:w="7792" w:type="dxa"/>
            <w:vAlign w:val="center"/>
          </w:tcPr>
          <w:p w:rsidR="00AA3CAA" w:rsidRPr="00AA3CAA" w:rsidRDefault="00AA3CAA" w:rsidP="00AA3CAA">
            <w:pPr>
              <w:rPr>
                <w:rFonts w:ascii="Arial" w:hAnsi="Arial" w:cs="Arial"/>
                <w:sz w:val="18"/>
                <w:szCs w:val="18"/>
              </w:rPr>
            </w:pPr>
            <w:r w:rsidRPr="00AA3CAA">
              <w:rPr>
                <w:rFonts w:ascii="Arial" w:hAnsi="Arial" w:cs="Arial"/>
                <w:sz w:val="18"/>
                <w:szCs w:val="18"/>
              </w:rPr>
              <w:t>3.2. Rozbudowa i modernizacja systemu dróg lokalnych i subregionalnych</w:t>
            </w:r>
          </w:p>
        </w:tc>
        <w:tc>
          <w:tcPr>
            <w:tcW w:w="1270" w:type="dxa"/>
            <w:vAlign w:val="center"/>
          </w:tcPr>
          <w:p w:rsidR="00AA3CAA" w:rsidRDefault="00AA3CAA" w:rsidP="00AA3C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A3CAA" w:rsidRPr="00AA3CAA" w:rsidTr="00B13E58">
        <w:trPr>
          <w:trHeight w:val="283"/>
        </w:trPr>
        <w:tc>
          <w:tcPr>
            <w:tcW w:w="7792" w:type="dxa"/>
            <w:vAlign w:val="center"/>
          </w:tcPr>
          <w:p w:rsidR="00AA3CAA" w:rsidRPr="00AA3CAA" w:rsidRDefault="00AA3CAA" w:rsidP="00AA3CAA">
            <w:pPr>
              <w:rPr>
                <w:rFonts w:ascii="Arial" w:hAnsi="Arial" w:cs="Arial"/>
                <w:sz w:val="18"/>
                <w:szCs w:val="18"/>
              </w:rPr>
            </w:pPr>
            <w:r w:rsidRPr="00AA3CAA">
              <w:rPr>
                <w:rFonts w:ascii="Arial" w:hAnsi="Arial" w:cs="Arial"/>
                <w:sz w:val="18"/>
                <w:szCs w:val="18"/>
              </w:rPr>
              <w:t>4.6. Rozwój nowoczesnej infrastruktury teleinformatycznej</w:t>
            </w:r>
          </w:p>
        </w:tc>
        <w:tc>
          <w:tcPr>
            <w:tcW w:w="1270" w:type="dxa"/>
            <w:vAlign w:val="center"/>
          </w:tcPr>
          <w:p w:rsidR="00AA3CAA" w:rsidRDefault="00AA3CAA" w:rsidP="00AA3C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A3CAA" w:rsidRPr="00AA3CAA" w:rsidTr="00B13E58">
        <w:trPr>
          <w:trHeight w:val="283"/>
        </w:trPr>
        <w:tc>
          <w:tcPr>
            <w:tcW w:w="7792" w:type="dxa"/>
            <w:vAlign w:val="center"/>
          </w:tcPr>
          <w:p w:rsidR="00AA3CAA" w:rsidRPr="00AA3CAA" w:rsidRDefault="00AA3CAA" w:rsidP="00AA3CAA">
            <w:pPr>
              <w:rPr>
                <w:rFonts w:ascii="Arial" w:hAnsi="Arial" w:cs="Arial"/>
                <w:sz w:val="18"/>
                <w:szCs w:val="18"/>
              </w:rPr>
            </w:pPr>
            <w:r w:rsidRPr="00AA3CAA">
              <w:rPr>
                <w:rFonts w:ascii="Arial" w:hAnsi="Arial" w:cs="Arial"/>
                <w:sz w:val="18"/>
                <w:szCs w:val="18"/>
              </w:rPr>
              <w:t>3.1. Budowa i modernizacja połączeń drogowych z siecią TEN-T</w:t>
            </w:r>
          </w:p>
        </w:tc>
        <w:tc>
          <w:tcPr>
            <w:tcW w:w="1270" w:type="dxa"/>
            <w:vAlign w:val="center"/>
          </w:tcPr>
          <w:p w:rsidR="00AA3CAA" w:rsidRDefault="00AA3CAA" w:rsidP="00AA3C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A3CAA" w:rsidRPr="00AA3CAA" w:rsidTr="00B13E58">
        <w:trPr>
          <w:trHeight w:val="283"/>
        </w:trPr>
        <w:tc>
          <w:tcPr>
            <w:tcW w:w="7792" w:type="dxa"/>
            <w:vAlign w:val="center"/>
          </w:tcPr>
          <w:p w:rsidR="00AA3CAA" w:rsidRPr="00AA3CAA" w:rsidRDefault="00AA3CAA" w:rsidP="00AA3CAA">
            <w:pPr>
              <w:rPr>
                <w:rFonts w:ascii="Arial" w:hAnsi="Arial" w:cs="Arial"/>
                <w:sz w:val="18"/>
                <w:szCs w:val="18"/>
              </w:rPr>
            </w:pPr>
            <w:r w:rsidRPr="00AA3CAA">
              <w:rPr>
                <w:rFonts w:ascii="Arial" w:hAnsi="Arial" w:cs="Arial"/>
                <w:sz w:val="18"/>
                <w:szCs w:val="18"/>
              </w:rPr>
              <w:t>2.4. Podniesienie poziomu kształcenia na wszystkich poziomach szkół</w:t>
            </w:r>
          </w:p>
        </w:tc>
        <w:tc>
          <w:tcPr>
            <w:tcW w:w="1270" w:type="dxa"/>
            <w:vAlign w:val="center"/>
          </w:tcPr>
          <w:p w:rsidR="00AA3CAA" w:rsidRDefault="00AA3CAA" w:rsidP="00AA3C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A3CAA" w:rsidRPr="00AA3CAA" w:rsidTr="00B13E58">
        <w:trPr>
          <w:trHeight w:val="283"/>
        </w:trPr>
        <w:tc>
          <w:tcPr>
            <w:tcW w:w="7792" w:type="dxa"/>
            <w:vAlign w:val="center"/>
          </w:tcPr>
          <w:p w:rsidR="00AA3CAA" w:rsidRPr="00AA3CAA" w:rsidRDefault="00AA3CAA" w:rsidP="00AA3CAA">
            <w:pPr>
              <w:rPr>
                <w:rFonts w:ascii="Arial" w:hAnsi="Arial" w:cs="Arial"/>
                <w:sz w:val="18"/>
                <w:szCs w:val="18"/>
              </w:rPr>
            </w:pPr>
            <w:r w:rsidRPr="00AA3CAA">
              <w:rPr>
                <w:rFonts w:ascii="Arial" w:hAnsi="Arial" w:cs="Arial"/>
                <w:sz w:val="18"/>
                <w:szCs w:val="18"/>
              </w:rPr>
              <w:t>4.4. Zwiększenie poziomu bezpieczeństwa publicznego</w:t>
            </w:r>
          </w:p>
        </w:tc>
        <w:tc>
          <w:tcPr>
            <w:tcW w:w="1270" w:type="dxa"/>
            <w:vAlign w:val="center"/>
          </w:tcPr>
          <w:p w:rsidR="00AA3CAA" w:rsidRDefault="00AA3CAA" w:rsidP="00AA3C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A3CAA" w:rsidRPr="00AA3CAA" w:rsidTr="00B13E58">
        <w:trPr>
          <w:trHeight w:val="283"/>
        </w:trPr>
        <w:tc>
          <w:tcPr>
            <w:tcW w:w="7792" w:type="dxa"/>
            <w:vAlign w:val="center"/>
          </w:tcPr>
          <w:p w:rsidR="00AA3CAA" w:rsidRPr="00AA3CAA" w:rsidRDefault="00AA3CAA" w:rsidP="00AA3CAA">
            <w:pPr>
              <w:rPr>
                <w:rFonts w:ascii="Arial" w:hAnsi="Arial" w:cs="Arial"/>
                <w:sz w:val="18"/>
                <w:szCs w:val="18"/>
              </w:rPr>
            </w:pPr>
            <w:r w:rsidRPr="00AA3CAA">
              <w:rPr>
                <w:rFonts w:ascii="Arial" w:hAnsi="Arial" w:cs="Arial"/>
                <w:sz w:val="18"/>
                <w:szCs w:val="18"/>
              </w:rPr>
              <w:t>1.3. Ograniczenie bezrobocia</w:t>
            </w:r>
          </w:p>
        </w:tc>
        <w:tc>
          <w:tcPr>
            <w:tcW w:w="1270" w:type="dxa"/>
            <w:vAlign w:val="center"/>
          </w:tcPr>
          <w:p w:rsidR="00AA3CAA" w:rsidRDefault="00AA3CAA" w:rsidP="00AA3C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A3CAA" w:rsidRPr="00AA3CAA" w:rsidTr="00B13E58">
        <w:trPr>
          <w:trHeight w:val="283"/>
        </w:trPr>
        <w:tc>
          <w:tcPr>
            <w:tcW w:w="7792" w:type="dxa"/>
            <w:vAlign w:val="center"/>
          </w:tcPr>
          <w:p w:rsidR="00AA3CAA" w:rsidRPr="00AA3CAA" w:rsidRDefault="00AA3CAA" w:rsidP="00AA3CAA">
            <w:pPr>
              <w:rPr>
                <w:rFonts w:ascii="Arial" w:hAnsi="Arial" w:cs="Arial"/>
                <w:sz w:val="18"/>
                <w:szCs w:val="18"/>
              </w:rPr>
            </w:pPr>
            <w:r w:rsidRPr="00AA3CAA">
              <w:rPr>
                <w:rFonts w:ascii="Arial" w:hAnsi="Arial" w:cs="Arial"/>
                <w:sz w:val="18"/>
                <w:szCs w:val="18"/>
              </w:rPr>
              <w:t>Cel przekrojowy: Podniesienie poziomu usług z zakresu pomocy społecznej</w:t>
            </w:r>
          </w:p>
        </w:tc>
        <w:tc>
          <w:tcPr>
            <w:tcW w:w="1270" w:type="dxa"/>
            <w:vAlign w:val="center"/>
          </w:tcPr>
          <w:p w:rsidR="00AA3CAA" w:rsidRDefault="00AA3CAA" w:rsidP="00AA3C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A3CAA" w:rsidRPr="00AA3CAA" w:rsidTr="00B13E58">
        <w:trPr>
          <w:trHeight w:val="283"/>
        </w:trPr>
        <w:tc>
          <w:tcPr>
            <w:tcW w:w="7792" w:type="dxa"/>
            <w:vAlign w:val="center"/>
          </w:tcPr>
          <w:p w:rsidR="00AA3CAA" w:rsidRPr="00AA3CAA" w:rsidRDefault="00AA3CAA" w:rsidP="00AA3CAA">
            <w:pPr>
              <w:rPr>
                <w:rFonts w:ascii="Arial" w:hAnsi="Arial" w:cs="Arial"/>
                <w:sz w:val="18"/>
                <w:szCs w:val="18"/>
              </w:rPr>
            </w:pPr>
            <w:r w:rsidRPr="00AA3CAA">
              <w:rPr>
                <w:rFonts w:ascii="Arial" w:hAnsi="Arial" w:cs="Arial"/>
                <w:sz w:val="18"/>
                <w:szCs w:val="18"/>
              </w:rPr>
              <w:t>3.7. Poprawa jakości powietrza</w:t>
            </w:r>
          </w:p>
        </w:tc>
        <w:tc>
          <w:tcPr>
            <w:tcW w:w="1270" w:type="dxa"/>
            <w:vAlign w:val="center"/>
          </w:tcPr>
          <w:p w:rsidR="00AA3CAA" w:rsidRDefault="00AA3CAA" w:rsidP="00AA3C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A3CAA" w:rsidRPr="00AA3CAA" w:rsidTr="00B13E58">
        <w:trPr>
          <w:trHeight w:val="283"/>
        </w:trPr>
        <w:tc>
          <w:tcPr>
            <w:tcW w:w="7792" w:type="dxa"/>
            <w:vAlign w:val="center"/>
          </w:tcPr>
          <w:p w:rsidR="00AA3CAA" w:rsidRPr="00AA3CAA" w:rsidRDefault="00AA3CAA" w:rsidP="00AA3CAA">
            <w:pPr>
              <w:rPr>
                <w:rFonts w:ascii="Arial" w:hAnsi="Arial" w:cs="Arial"/>
                <w:sz w:val="18"/>
                <w:szCs w:val="18"/>
              </w:rPr>
            </w:pPr>
            <w:r w:rsidRPr="00AA3CAA">
              <w:rPr>
                <w:rFonts w:ascii="Arial" w:hAnsi="Arial" w:cs="Arial"/>
                <w:sz w:val="18"/>
                <w:szCs w:val="18"/>
              </w:rPr>
              <w:t>4.8. Podniesienie poziomu usług ochrony zdrowia i profilaktyki zdrowotnej</w:t>
            </w:r>
          </w:p>
        </w:tc>
        <w:tc>
          <w:tcPr>
            <w:tcW w:w="1270" w:type="dxa"/>
            <w:vAlign w:val="center"/>
          </w:tcPr>
          <w:p w:rsidR="00AA3CAA" w:rsidRDefault="00AA3CAA" w:rsidP="00AA3C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A3CAA" w:rsidRPr="00AA3CAA" w:rsidTr="00B13E58">
        <w:trPr>
          <w:trHeight w:val="283"/>
        </w:trPr>
        <w:tc>
          <w:tcPr>
            <w:tcW w:w="7792" w:type="dxa"/>
            <w:vAlign w:val="center"/>
          </w:tcPr>
          <w:p w:rsidR="00AA3CAA" w:rsidRPr="00AA3CAA" w:rsidRDefault="00AA3CAA" w:rsidP="00AA3CAA">
            <w:pPr>
              <w:rPr>
                <w:rFonts w:ascii="Arial" w:hAnsi="Arial" w:cs="Arial"/>
                <w:sz w:val="18"/>
                <w:szCs w:val="18"/>
              </w:rPr>
            </w:pPr>
            <w:r w:rsidRPr="00AA3CAA">
              <w:rPr>
                <w:rFonts w:ascii="Arial" w:hAnsi="Arial" w:cs="Arial"/>
                <w:sz w:val="18"/>
                <w:szCs w:val="18"/>
              </w:rPr>
              <w:t>3.6. Racjonalny i stabilny system zbiórki, odbioru i zagospodarowania odpadów komunalnych</w:t>
            </w:r>
          </w:p>
        </w:tc>
        <w:tc>
          <w:tcPr>
            <w:tcW w:w="1270" w:type="dxa"/>
            <w:vAlign w:val="center"/>
          </w:tcPr>
          <w:p w:rsidR="00AA3CAA" w:rsidRDefault="00AA3CAA" w:rsidP="00AA3C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</w:tbl>
    <w:p w:rsidR="00AA3CAA" w:rsidRDefault="00AA3CAA" w:rsidP="0070212F">
      <w:pPr>
        <w:spacing w:after="120" w:line="360" w:lineRule="auto"/>
        <w:jc w:val="both"/>
        <w:rPr>
          <w:rFonts w:ascii="Arial" w:hAnsi="Arial" w:cs="Arial"/>
          <w:sz w:val="24"/>
        </w:rPr>
      </w:pPr>
    </w:p>
    <w:p w:rsidR="00B13E58" w:rsidRPr="00B13E58" w:rsidRDefault="00B13E58" w:rsidP="00B13E58">
      <w:pPr>
        <w:spacing w:after="0" w:line="24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Tabela 2. </w:t>
      </w:r>
      <w:r w:rsidRPr="00B13E58">
        <w:rPr>
          <w:rFonts w:ascii="Arial" w:hAnsi="Arial" w:cs="Arial"/>
          <w:sz w:val="18"/>
        </w:rPr>
        <w:t>Cele, które w przeważającej większości uzyskały ocenę „Raczej zgadzam się, że taki cel powinien być realizowany ale nie priorytetowo”.</w:t>
      </w:r>
    </w:p>
    <w:tbl>
      <w:tblPr>
        <w:tblStyle w:val="Tabela-Siatka"/>
        <w:tblW w:w="9014" w:type="dxa"/>
        <w:tblLayout w:type="fixed"/>
        <w:tblLook w:val="04A0" w:firstRow="1" w:lastRow="0" w:firstColumn="1" w:lastColumn="0" w:noHBand="0" w:noVBand="1"/>
      </w:tblPr>
      <w:tblGrid>
        <w:gridCol w:w="6860"/>
        <w:gridCol w:w="1077"/>
        <w:gridCol w:w="1077"/>
      </w:tblGrid>
      <w:tr w:rsidR="00B13E58" w:rsidRPr="00B13E58" w:rsidTr="00B13E58">
        <w:trPr>
          <w:trHeight w:val="964"/>
        </w:trPr>
        <w:tc>
          <w:tcPr>
            <w:tcW w:w="6860" w:type="dxa"/>
            <w:vAlign w:val="center"/>
          </w:tcPr>
          <w:p w:rsidR="00B13E58" w:rsidRPr="00B13E58" w:rsidRDefault="00B13E58" w:rsidP="001F6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lastRenderedPageBreak/>
              <w:t>Cel</w:t>
            </w:r>
          </w:p>
        </w:tc>
        <w:tc>
          <w:tcPr>
            <w:tcW w:w="1077" w:type="dxa"/>
            <w:vAlign w:val="center"/>
          </w:tcPr>
          <w:p w:rsidR="00B13E58" w:rsidRPr="00B13E58" w:rsidRDefault="00B13E58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 xml:space="preserve">Częstość </w:t>
            </w:r>
          </w:p>
          <w:p w:rsidR="00B13E58" w:rsidRPr="00B13E58" w:rsidRDefault="00B13E58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odpowi</w:t>
            </w:r>
            <w:r w:rsidRPr="00B13E58">
              <w:rPr>
                <w:rFonts w:ascii="Arial" w:hAnsi="Arial" w:cs="Arial"/>
                <w:sz w:val="18"/>
                <w:szCs w:val="18"/>
              </w:rPr>
              <w:t>e</w:t>
            </w:r>
            <w:r w:rsidRPr="00B13E58">
              <w:rPr>
                <w:rFonts w:ascii="Arial" w:hAnsi="Arial" w:cs="Arial"/>
                <w:sz w:val="18"/>
                <w:szCs w:val="18"/>
              </w:rPr>
              <w:t>dzi (1)</w:t>
            </w:r>
          </w:p>
        </w:tc>
        <w:tc>
          <w:tcPr>
            <w:tcW w:w="1077" w:type="dxa"/>
            <w:vAlign w:val="center"/>
          </w:tcPr>
          <w:p w:rsidR="00B13E58" w:rsidRPr="00B13E58" w:rsidRDefault="00B13E58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Częstość</w:t>
            </w:r>
          </w:p>
          <w:p w:rsidR="00B13E58" w:rsidRPr="00B13E58" w:rsidRDefault="00B13E58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odpowi</w:t>
            </w:r>
            <w:r w:rsidRPr="00B13E58">
              <w:rPr>
                <w:rFonts w:ascii="Arial" w:hAnsi="Arial" w:cs="Arial"/>
                <w:sz w:val="18"/>
                <w:szCs w:val="18"/>
              </w:rPr>
              <w:t>e</w:t>
            </w:r>
            <w:r w:rsidRPr="00B13E58">
              <w:rPr>
                <w:rFonts w:ascii="Arial" w:hAnsi="Arial" w:cs="Arial"/>
                <w:sz w:val="18"/>
                <w:szCs w:val="18"/>
              </w:rPr>
              <w:t>dzi (2)</w:t>
            </w:r>
          </w:p>
        </w:tc>
      </w:tr>
      <w:tr w:rsidR="007E6E88" w:rsidRPr="00B13E58" w:rsidTr="00B13E58">
        <w:trPr>
          <w:trHeight w:val="283"/>
        </w:trPr>
        <w:tc>
          <w:tcPr>
            <w:tcW w:w="6860" w:type="dxa"/>
            <w:vAlign w:val="center"/>
          </w:tcPr>
          <w:p w:rsidR="007E6E88" w:rsidRPr="00B13E58" w:rsidRDefault="007E6E88" w:rsidP="00B13E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3E58">
              <w:rPr>
                <w:rFonts w:ascii="Arial" w:hAnsi="Arial" w:cs="Arial"/>
                <w:color w:val="000000"/>
                <w:sz w:val="18"/>
                <w:szCs w:val="18"/>
              </w:rPr>
              <w:t>2.1. Utrzymywanie i rozwój funkcji administracyjnych miasta</w:t>
            </w:r>
          </w:p>
        </w:tc>
        <w:tc>
          <w:tcPr>
            <w:tcW w:w="1077" w:type="dxa"/>
            <w:vAlign w:val="center"/>
          </w:tcPr>
          <w:p w:rsidR="007E6E88" w:rsidRPr="00B13E58" w:rsidRDefault="007E6E88" w:rsidP="00B13E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3E58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:rsidR="007E6E88" w:rsidRPr="00B13E58" w:rsidRDefault="007E6E88" w:rsidP="00B13E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3E58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7E6E88" w:rsidRPr="00B13E58" w:rsidTr="00B13E58">
        <w:trPr>
          <w:trHeight w:val="283"/>
        </w:trPr>
        <w:tc>
          <w:tcPr>
            <w:tcW w:w="6860" w:type="dxa"/>
            <w:vAlign w:val="center"/>
          </w:tcPr>
          <w:p w:rsidR="007E6E88" w:rsidRPr="00B13E58" w:rsidRDefault="007E6E88" w:rsidP="00B13E58">
            <w:pPr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3.3. Rozwój i integracja różnych form transportu publicznego</w:t>
            </w:r>
          </w:p>
        </w:tc>
        <w:tc>
          <w:tcPr>
            <w:tcW w:w="1077" w:type="dxa"/>
            <w:vAlign w:val="center"/>
          </w:tcPr>
          <w:p w:rsidR="007E6E88" w:rsidRPr="00B13E58" w:rsidRDefault="007E6E88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77" w:type="dxa"/>
            <w:vAlign w:val="center"/>
          </w:tcPr>
          <w:p w:rsidR="007E6E88" w:rsidRPr="00B13E58" w:rsidRDefault="007E6E88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7E6E88" w:rsidRPr="00B13E58" w:rsidTr="00B13E58">
        <w:trPr>
          <w:trHeight w:val="283"/>
        </w:trPr>
        <w:tc>
          <w:tcPr>
            <w:tcW w:w="6860" w:type="dxa"/>
            <w:vAlign w:val="center"/>
          </w:tcPr>
          <w:p w:rsidR="007E6E88" w:rsidRPr="00B13E58" w:rsidRDefault="007E6E88" w:rsidP="00B13E58">
            <w:pPr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3.5. Rozbudowa i modernizacja infrastruktury wodno-kanalizacyjnej oraz ciepłown</w:t>
            </w:r>
            <w:r w:rsidRPr="00B13E58">
              <w:rPr>
                <w:rFonts w:ascii="Arial" w:hAnsi="Arial" w:cs="Arial"/>
                <w:sz w:val="18"/>
                <w:szCs w:val="18"/>
              </w:rPr>
              <w:t>i</w:t>
            </w:r>
            <w:r w:rsidRPr="00B13E58">
              <w:rPr>
                <w:rFonts w:ascii="Arial" w:hAnsi="Arial" w:cs="Arial"/>
                <w:sz w:val="18"/>
                <w:szCs w:val="18"/>
              </w:rPr>
              <w:t>czej</w:t>
            </w:r>
          </w:p>
        </w:tc>
        <w:tc>
          <w:tcPr>
            <w:tcW w:w="1077" w:type="dxa"/>
            <w:vAlign w:val="center"/>
          </w:tcPr>
          <w:p w:rsidR="007E6E88" w:rsidRPr="00B13E58" w:rsidRDefault="007E6E88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:rsidR="007E6E88" w:rsidRPr="00B13E58" w:rsidRDefault="007E6E88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7E6E88" w:rsidRPr="00B13E58" w:rsidTr="00B13E58">
        <w:trPr>
          <w:trHeight w:val="283"/>
        </w:trPr>
        <w:tc>
          <w:tcPr>
            <w:tcW w:w="6860" w:type="dxa"/>
            <w:vAlign w:val="center"/>
          </w:tcPr>
          <w:p w:rsidR="007E6E88" w:rsidRPr="00B13E58" w:rsidRDefault="007E6E88" w:rsidP="00B13E58">
            <w:pPr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4.2. Rewitalizacja obszarów problemowych i tworzenie wysokiej jakości przestrzeni publicznych</w:t>
            </w:r>
          </w:p>
        </w:tc>
        <w:tc>
          <w:tcPr>
            <w:tcW w:w="1077" w:type="dxa"/>
            <w:vAlign w:val="center"/>
          </w:tcPr>
          <w:p w:rsidR="007E6E88" w:rsidRPr="00B13E58" w:rsidRDefault="007E6E88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:rsidR="007E6E88" w:rsidRPr="00B13E58" w:rsidRDefault="007E6E88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7E6E88" w:rsidRPr="00B13E58" w:rsidTr="00B13E58">
        <w:trPr>
          <w:trHeight w:val="283"/>
        </w:trPr>
        <w:tc>
          <w:tcPr>
            <w:tcW w:w="6860" w:type="dxa"/>
            <w:vAlign w:val="center"/>
          </w:tcPr>
          <w:p w:rsidR="007E6E88" w:rsidRPr="00B13E58" w:rsidRDefault="007E6E88" w:rsidP="00B13E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3E58">
              <w:rPr>
                <w:rFonts w:ascii="Arial" w:hAnsi="Arial" w:cs="Arial"/>
                <w:color w:val="000000"/>
                <w:sz w:val="18"/>
                <w:szCs w:val="18"/>
              </w:rPr>
              <w:t>2.2. Rozwój funkcji akademickich miasta</w:t>
            </w:r>
          </w:p>
        </w:tc>
        <w:tc>
          <w:tcPr>
            <w:tcW w:w="1077" w:type="dxa"/>
            <w:vAlign w:val="center"/>
          </w:tcPr>
          <w:p w:rsidR="007E6E88" w:rsidRPr="00B13E58" w:rsidRDefault="007E6E88" w:rsidP="00B13E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3E58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:rsidR="007E6E88" w:rsidRPr="00B13E58" w:rsidRDefault="007E6E88" w:rsidP="00B13E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3E58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7E6E88" w:rsidRPr="00B13E58" w:rsidTr="00B13E58">
        <w:trPr>
          <w:trHeight w:val="283"/>
        </w:trPr>
        <w:tc>
          <w:tcPr>
            <w:tcW w:w="6860" w:type="dxa"/>
            <w:vAlign w:val="center"/>
          </w:tcPr>
          <w:p w:rsidR="007E6E88" w:rsidRPr="00B13E58" w:rsidRDefault="007E6E88" w:rsidP="00B13E58">
            <w:pPr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3.4. Ochrona i racjonalne gospodarowanie zasobami przyrodniczymi w mieście</w:t>
            </w:r>
          </w:p>
        </w:tc>
        <w:tc>
          <w:tcPr>
            <w:tcW w:w="1077" w:type="dxa"/>
            <w:vAlign w:val="center"/>
          </w:tcPr>
          <w:p w:rsidR="007E6E88" w:rsidRPr="00B13E58" w:rsidRDefault="007E6E88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:rsidR="007E6E88" w:rsidRPr="00B13E58" w:rsidRDefault="007E6E88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7E6E88" w:rsidRPr="00B13E58" w:rsidTr="00B13E58">
        <w:trPr>
          <w:trHeight w:val="283"/>
        </w:trPr>
        <w:tc>
          <w:tcPr>
            <w:tcW w:w="6860" w:type="dxa"/>
            <w:vAlign w:val="center"/>
          </w:tcPr>
          <w:p w:rsidR="007E6E88" w:rsidRPr="00B13E58" w:rsidRDefault="007E6E88" w:rsidP="00B13E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3E58">
              <w:rPr>
                <w:rFonts w:ascii="Arial" w:hAnsi="Arial" w:cs="Arial"/>
                <w:color w:val="000000"/>
                <w:sz w:val="18"/>
                <w:szCs w:val="18"/>
              </w:rPr>
              <w:t>2.6. Modernizacja i poprawa stanu wyposażenia infrastruktury edukacyjnej</w:t>
            </w:r>
          </w:p>
        </w:tc>
        <w:tc>
          <w:tcPr>
            <w:tcW w:w="1077" w:type="dxa"/>
            <w:vAlign w:val="center"/>
          </w:tcPr>
          <w:p w:rsidR="007E6E88" w:rsidRPr="00B13E58" w:rsidRDefault="007E6E88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77" w:type="dxa"/>
            <w:vAlign w:val="center"/>
          </w:tcPr>
          <w:p w:rsidR="007E6E88" w:rsidRPr="00B13E58" w:rsidRDefault="007E6E88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E6E88" w:rsidRPr="00B13E58" w:rsidTr="00B13E58">
        <w:trPr>
          <w:trHeight w:val="283"/>
        </w:trPr>
        <w:tc>
          <w:tcPr>
            <w:tcW w:w="6860" w:type="dxa"/>
            <w:vAlign w:val="center"/>
          </w:tcPr>
          <w:p w:rsidR="007E6E88" w:rsidRPr="00B13E58" w:rsidRDefault="007E6E88" w:rsidP="00B13E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3E58">
              <w:rPr>
                <w:rFonts w:ascii="Arial" w:hAnsi="Arial" w:cs="Arial"/>
                <w:color w:val="000000"/>
                <w:sz w:val="18"/>
                <w:szCs w:val="18"/>
              </w:rPr>
              <w:t>4.5. Rozwój nowoczesnej infrastruktury teleinformatycznej</w:t>
            </w:r>
          </w:p>
        </w:tc>
        <w:tc>
          <w:tcPr>
            <w:tcW w:w="1077" w:type="dxa"/>
            <w:vAlign w:val="center"/>
          </w:tcPr>
          <w:p w:rsidR="007E6E88" w:rsidRPr="00B13E58" w:rsidRDefault="007E6E88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77" w:type="dxa"/>
            <w:vAlign w:val="center"/>
          </w:tcPr>
          <w:p w:rsidR="007E6E88" w:rsidRPr="00B13E58" w:rsidRDefault="007E6E88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7E6E88" w:rsidRPr="00B13E58" w:rsidTr="00B13E58">
        <w:trPr>
          <w:trHeight w:val="283"/>
        </w:trPr>
        <w:tc>
          <w:tcPr>
            <w:tcW w:w="6860" w:type="dxa"/>
            <w:vAlign w:val="center"/>
          </w:tcPr>
          <w:p w:rsidR="007E6E88" w:rsidRPr="00B13E58" w:rsidRDefault="007E6E88" w:rsidP="00B13E58">
            <w:pPr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4.1. Prowadzenie polityki przestrzennej służącej osiągnięciu ładu przestrzennego</w:t>
            </w:r>
          </w:p>
        </w:tc>
        <w:tc>
          <w:tcPr>
            <w:tcW w:w="1077" w:type="dxa"/>
            <w:vAlign w:val="center"/>
          </w:tcPr>
          <w:p w:rsidR="007E6E88" w:rsidRPr="00B13E58" w:rsidRDefault="007E6E88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77" w:type="dxa"/>
            <w:vAlign w:val="center"/>
          </w:tcPr>
          <w:p w:rsidR="007E6E88" w:rsidRPr="00B13E58" w:rsidRDefault="007E6E88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7E6E88" w:rsidRPr="00B13E58" w:rsidTr="00B13E58">
        <w:trPr>
          <w:trHeight w:val="283"/>
        </w:trPr>
        <w:tc>
          <w:tcPr>
            <w:tcW w:w="6860" w:type="dxa"/>
            <w:vAlign w:val="center"/>
          </w:tcPr>
          <w:p w:rsidR="007E6E88" w:rsidRPr="00B13E58" w:rsidRDefault="007E6E88" w:rsidP="00B13E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3E58">
              <w:rPr>
                <w:rFonts w:ascii="Arial" w:hAnsi="Arial" w:cs="Arial"/>
                <w:color w:val="000000"/>
                <w:sz w:val="18"/>
                <w:szCs w:val="18"/>
              </w:rPr>
              <w:t>2.5. Wspieranie kształcenia ustawicznego i praktycznego</w:t>
            </w:r>
          </w:p>
        </w:tc>
        <w:tc>
          <w:tcPr>
            <w:tcW w:w="1077" w:type="dxa"/>
            <w:vAlign w:val="center"/>
          </w:tcPr>
          <w:p w:rsidR="007E6E88" w:rsidRPr="00B13E58" w:rsidRDefault="007E6E88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:rsidR="007E6E88" w:rsidRPr="00B13E58" w:rsidRDefault="007E6E88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7E6E88" w:rsidRPr="00B13E58" w:rsidTr="00B13E58">
        <w:trPr>
          <w:trHeight w:val="283"/>
        </w:trPr>
        <w:tc>
          <w:tcPr>
            <w:tcW w:w="6860" w:type="dxa"/>
            <w:vAlign w:val="center"/>
          </w:tcPr>
          <w:p w:rsidR="007E6E88" w:rsidRPr="00B13E58" w:rsidRDefault="007E6E88" w:rsidP="00B13E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3E58">
              <w:rPr>
                <w:rFonts w:ascii="Arial" w:hAnsi="Arial" w:cs="Arial"/>
                <w:color w:val="000000"/>
                <w:sz w:val="18"/>
                <w:szCs w:val="18"/>
              </w:rPr>
              <w:t>4.9. Wsparcie działalności organizacji pozarządowych</w:t>
            </w:r>
          </w:p>
        </w:tc>
        <w:tc>
          <w:tcPr>
            <w:tcW w:w="1077" w:type="dxa"/>
            <w:vAlign w:val="center"/>
          </w:tcPr>
          <w:p w:rsidR="007E6E88" w:rsidRPr="00B13E58" w:rsidRDefault="007E6E88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:rsidR="007E6E88" w:rsidRPr="00B13E58" w:rsidRDefault="007E6E88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7E6E88" w:rsidRPr="00B13E58" w:rsidTr="00B13E58">
        <w:trPr>
          <w:trHeight w:val="283"/>
        </w:trPr>
        <w:tc>
          <w:tcPr>
            <w:tcW w:w="6860" w:type="dxa"/>
            <w:vAlign w:val="center"/>
          </w:tcPr>
          <w:p w:rsidR="007E6E88" w:rsidRPr="00B13E58" w:rsidRDefault="007E6E88" w:rsidP="00B13E58">
            <w:pPr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4.3. Rozwój budownictwa mieszkaniowego</w:t>
            </w:r>
          </w:p>
        </w:tc>
        <w:tc>
          <w:tcPr>
            <w:tcW w:w="1077" w:type="dxa"/>
            <w:vAlign w:val="center"/>
          </w:tcPr>
          <w:p w:rsidR="007E6E88" w:rsidRPr="00B13E58" w:rsidRDefault="007E6E88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77" w:type="dxa"/>
            <w:vAlign w:val="center"/>
          </w:tcPr>
          <w:p w:rsidR="007E6E88" w:rsidRPr="00B13E58" w:rsidRDefault="007E6E88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7E6E88" w:rsidRPr="00B13E58" w:rsidTr="00B13E58">
        <w:trPr>
          <w:trHeight w:val="283"/>
        </w:trPr>
        <w:tc>
          <w:tcPr>
            <w:tcW w:w="6860" w:type="dxa"/>
            <w:vAlign w:val="center"/>
          </w:tcPr>
          <w:p w:rsidR="007E6E88" w:rsidRPr="00B13E58" w:rsidRDefault="007E6E88" w:rsidP="00B13E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3E58">
              <w:rPr>
                <w:rFonts w:ascii="Arial" w:hAnsi="Arial" w:cs="Arial"/>
                <w:color w:val="000000"/>
                <w:sz w:val="18"/>
                <w:szCs w:val="18"/>
              </w:rPr>
              <w:t>4.7. Podniesienie poziomu usług z zakresu pomocy społecznej</w:t>
            </w:r>
          </w:p>
        </w:tc>
        <w:tc>
          <w:tcPr>
            <w:tcW w:w="1077" w:type="dxa"/>
            <w:vAlign w:val="center"/>
          </w:tcPr>
          <w:p w:rsidR="007E6E88" w:rsidRPr="00B13E58" w:rsidRDefault="007E6E88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77" w:type="dxa"/>
            <w:vAlign w:val="center"/>
          </w:tcPr>
          <w:p w:rsidR="007E6E88" w:rsidRPr="00B13E58" w:rsidRDefault="007E6E88" w:rsidP="00B1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E58"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B13E58" w:rsidRPr="00B13E58" w:rsidTr="00B13E58">
        <w:trPr>
          <w:trHeight w:val="283"/>
        </w:trPr>
        <w:tc>
          <w:tcPr>
            <w:tcW w:w="6860" w:type="dxa"/>
            <w:vAlign w:val="center"/>
          </w:tcPr>
          <w:p w:rsidR="00B13E58" w:rsidRPr="00B13E58" w:rsidRDefault="00B13E58" w:rsidP="00B13E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3E58">
              <w:rPr>
                <w:rFonts w:ascii="Arial" w:hAnsi="Arial" w:cs="Arial"/>
                <w:color w:val="000000"/>
                <w:sz w:val="18"/>
                <w:szCs w:val="18"/>
              </w:rPr>
              <w:t>1.4. Rozwój turystyki</w:t>
            </w:r>
          </w:p>
        </w:tc>
        <w:tc>
          <w:tcPr>
            <w:tcW w:w="1077" w:type="dxa"/>
            <w:vAlign w:val="center"/>
          </w:tcPr>
          <w:p w:rsidR="00B13E58" w:rsidRPr="00B13E58" w:rsidRDefault="00B13E58" w:rsidP="00B13E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3E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7" w:type="dxa"/>
            <w:vAlign w:val="center"/>
          </w:tcPr>
          <w:p w:rsidR="00B13E58" w:rsidRPr="00B13E58" w:rsidRDefault="00B13E58" w:rsidP="00B13E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3E5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B13E58" w:rsidRPr="00B13E58" w:rsidTr="00B13E58">
        <w:trPr>
          <w:trHeight w:val="283"/>
        </w:trPr>
        <w:tc>
          <w:tcPr>
            <w:tcW w:w="6860" w:type="dxa"/>
            <w:vAlign w:val="center"/>
          </w:tcPr>
          <w:p w:rsidR="00B13E58" w:rsidRPr="00B13E58" w:rsidRDefault="00B13E58" w:rsidP="00B13E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3E58">
              <w:rPr>
                <w:rFonts w:ascii="Arial" w:hAnsi="Arial" w:cs="Arial"/>
                <w:color w:val="000000"/>
                <w:sz w:val="18"/>
                <w:szCs w:val="18"/>
              </w:rPr>
              <w:t>2.3. Organizacja i wspieranie inicjatyw artystycznych i sportowych o zasięgu regi</w:t>
            </w:r>
            <w:r w:rsidRPr="00B13E58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B13E58">
              <w:rPr>
                <w:rFonts w:ascii="Arial" w:hAnsi="Arial" w:cs="Arial"/>
                <w:color w:val="000000"/>
                <w:sz w:val="18"/>
                <w:szCs w:val="18"/>
              </w:rPr>
              <w:t>nalnym, krajowym i międzynarodowym</w:t>
            </w:r>
          </w:p>
        </w:tc>
        <w:tc>
          <w:tcPr>
            <w:tcW w:w="1077" w:type="dxa"/>
            <w:vAlign w:val="center"/>
          </w:tcPr>
          <w:p w:rsidR="00B13E58" w:rsidRPr="00B13E58" w:rsidRDefault="00B13E58" w:rsidP="00B13E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3E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7" w:type="dxa"/>
            <w:vAlign w:val="center"/>
          </w:tcPr>
          <w:p w:rsidR="00B13E58" w:rsidRPr="00B13E58" w:rsidRDefault="00B13E58" w:rsidP="00B13E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3E58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</w:tbl>
    <w:p w:rsidR="007E6E88" w:rsidRDefault="007E6E88" w:rsidP="00B13E58">
      <w:pPr>
        <w:spacing w:after="120" w:line="360" w:lineRule="auto"/>
        <w:jc w:val="both"/>
        <w:rPr>
          <w:rFonts w:ascii="Arial" w:hAnsi="Arial" w:cs="Arial"/>
          <w:sz w:val="24"/>
        </w:rPr>
      </w:pPr>
    </w:p>
    <w:p w:rsidR="007E6E88" w:rsidRDefault="007E6E88" w:rsidP="00B13E58">
      <w:pPr>
        <w:spacing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Uzyskane dzięki badaniu kwestionariuszowemu wyniki pozwalają w nieco większym stopniu pogłębić i zakorzenić w opinii lokalnej społeczności wyznaczone cele rozw</w:t>
      </w:r>
      <w:r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jowe. Trzeba dodać, że większość dokonanych ocen jest zbieżna z wyznaczonymi priorytetami rozwojowymi dla Siedlec (m.in. podkreślenie spraw gospodarczych).</w:t>
      </w:r>
    </w:p>
    <w:p w:rsidR="007E6E88" w:rsidRDefault="007E6E88" w:rsidP="00B13E58">
      <w:pPr>
        <w:spacing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Oprócz czterech ww. etapów konsultacji społecznych z mieszkańcami i interesari</w:t>
      </w:r>
      <w:r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>szami, na każdym z etapów opracowania Strategii dokonywano konsultacji w</w:t>
      </w:r>
      <w:r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wnętrznych w ramach wydziałów Urzędu Miasta Siedlce oraz jednostek zależnych od miasta. </w:t>
      </w:r>
      <w:r w:rsidR="00FC5F41">
        <w:rPr>
          <w:rFonts w:ascii="Arial" w:hAnsi="Arial" w:cs="Arial"/>
          <w:sz w:val="24"/>
        </w:rPr>
        <w:t>Miały one kluczowe znaczenie dla ostatecznego kształtu Strategii z uwagi na fakt, że to ostatecznie te podmioty będą uczestniczyły w realizacji i wdrażaniu przyj</w:t>
      </w:r>
      <w:r w:rsidR="00FC5F41">
        <w:rPr>
          <w:rFonts w:ascii="Arial" w:hAnsi="Arial" w:cs="Arial"/>
          <w:sz w:val="24"/>
        </w:rPr>
        <w:t>ę</w:t>
      </w:r>
      <w:r w:rsidR="00FC5F41">
        <w:rPr>
          <w:rFonts w:ascii="Arial" w:hAnsi="Arial" w:cs="Arial"/>
          <w:sz w:val="24"/>
        </w:rPr>
        <w:t>tych zapisów.</w:t>
      </w:r>
    </w:p>
    <w:p w:rsidR="00966BE4" w:rsidRPr="00E4794A" w:rsidRDefault="00966BE4" w:rsidP="009E19F7">
      <w:pPr>
        <w:tabs>
          <w:tab w:val="left" w:pos="2181"/>
        </w:tabs>
        <w:spacing w:after="120" w:line="360" w:lineRule="auto"/>
        <w:jc w:val="both"/>
        <w:rPr>
          <w:rFonts w:ascii="Arial" w:hAnsi="Arial" w:cs="Arial"/>
          <w:sz w:val="24"/>
        </w:rPr>
      </w:pPr>
    </w:p>
    <w:sectPr w:rsidR="00966BE4" w:rsidRPr="00E4794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04D" w:rsidRDefault="00A0004D" w:rsidP="000E5505">
      <w:pPr>
        <w:spacing w:after="0" w:line="240" w:lineRule="auto"/>
      </w:pPr>
      <w:r>
        <w:separator/>
      </w:r>
    </w:p>
  </w:endnote>
  <w:endnote w:type="continuationSeparator" w:id="0">
    <w:p w:rsidR="00A0004D" w:rsidRDefault="00A0004D" w:rsidP="000E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86148282"/>
      <w:docPartObj>
        <w:docPartGallery w:val="Page Numbers (Bottom of Page)"/>
        <w:docPartUnique/>
      </w:docPartObj>
    </w:sdtPr>
    <w:sdtEndPr/>
    <w:sdtContent>
      <w:p w:rsidR="000E5505" w:rsidRPr="000E5505" w:rsidRDefault="000E5505">
        <w:pPr>
          <w:pStyle w:val="Stopka"/>
          <w:jc w:val="right"/>
          <w:rPr>
            <w:rFonts w:ascii="Arial" w:hAnsi="Arial" w:cs="Arial"/>
          </w:rPr>
        </w:pPr>
        <w:r w:rsidRPr="000E5505">
          <w:rPr>
            <w:rFonts w:ascii="Arial" w:hAnsi="Arial" w:cs="Arial"/>
          </w:rPr>
          <w:fldChar w:fldCharType="begin"/>
        </w:r>
        <w:r w:rsidRPr="000E5505">
          <w:rPr>
            <w:rFonts w:ascii="Arial" w:hAnsi="Arial" w:cs="Arial"/>
          </w:rPr>
          <w:instrText>PAGE   \* MERGEFORMAT</w:instrText>
        </w:r>
        <w:r w:rsidRPr="000E5505">
          <w:rPr>
            <w:rFonts w:ascii="Arial" w:hAnsi="Arial" w:cs="Arial"/>
          </w:rPr>
          <w:fldChar w:fldCharType="separate"/>
        </w:r>
        <w:r w:rsidR="00482F5F">
          <w:rPr>
            <w:rFonts w:ascii="Arial" w:hAnsi="Arial" w:cs="Arial"/>
            <w:noProof/>
          </w:rPr>
          <w:t>1</w:t>
        </w:r>
        <w:r w:rsidRPr="000E5505">
          <w:rPr>
            <w:rFonts w:ascii="Arial" w:hAnsi="Arial" w:cs="Arial"/>
          </w:rPr>
          <w:fldChar w:fldCharType="end"/>
        </w:r>
      </w:p>
    </w:sdtContent>
  </w:sdt>
  <w:p w:rsidR="000E5505" w:rsidRDefault="000E55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04D" w:rsidRDefault="00A0004D" w:rsidP="000E5505">
      <w:pPr>
        <w:spacing w:after="0" w:line="240" w:lineRule="auto"/>
      </w:pPr>
      <w:r>
        <w:separator/>
      </w:r>
    </w:p>
  </w:footnote>
  <w:footnote w:type="continuationSeparator" w:id="0">
    <w:p w:rsidR="00A0004D" w:rsidRDefault="00A0004D" w:rsidP="000E5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57AEE"/>
    <w:multiLevelType w:val="multilevel"/>
    <w:tmpl w:val="A0EA9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34E4CA2"/>
    <w:multiLevelType w:val="hybridMultilevel"/>
    <w:tmpl w:val="33FCB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90459"/>
    <w:multiLevelType w:val="hybridMultilevel"/>
    <w:tmpl w:val="F4761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E4B6E"/>
    <w:multiLevelType w:val="hybridMultilevel"/>
    <w:tmpl w:val="14488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C74C0"/>
    <w:multiLevelType w:val="hybridMultilevel"/>
    <w:tmpl w:val="91446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874C7"/>
    <w:multiLevelType w:val="hybridMultilevel"/>
    <w:tmpl w:val="72A49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AF"/>
    <w:rsid w:val="0005482B"/>
    <w:rsid w:val="000E5505"/>
    <w:rsid w:val="00143EB5"/>
    <w:rsid w:val="002536E5"/>
    <w:rsid w:val="002D76F0"/>
    <w:rsid w:val="00404DB0"/>
    <w:rsid w:val="0042443C"/>
    <w:rsid w:val="00445E86"/>
    <w:rsid w:val="00482F5F"/>
    <w:rsid w:val="004B2DDC"/>
    <w:rsid w:val="004D0CAF"/>
    <w:rsid w:val="004D1FAE"/>
    <w:rsid w:val="005313F6"/>
    <w:rsid w:val="006B7638"/>
    <w:rsid w:val="006C0F0B"/>
    <w:rsid w:val="0070212F"/>
    <w:rsid w:val="007822C1"/>
    <w:rsid w:val="007E6E88"/>
    <w:rsid w:val="007F33E3"/>
    <w:rsid w:val="008177C3"/>
    <w:rsid w:val="008346A1"/>
    <w:rsid w:val="008446B8"/>
    <w:rsid w:val="008B4999"/>
    <w:rsid w:val="008F632F"/>
    <w:rsid w:val="00926EE1"/>
    <w:rsid w:val="00947015"/>
    <w:rsid w:val="009473A2"/>
    <w:rsid w:val="00966BE4"/>
    <w:rsid w:val="009E19F7"/>
    <w:rsid w:val="00A0004D"/>
    <w:rsid w:val="00AA3CAA"/>
    <w:rsid w:val="00B13E58"/>
    <w:rsid w:val="00B22F07"/>
    <w:rsid w:val="00B24146"/>
    <w:rsid w:val="00BA1587"/>
    <w:rsid w:val="00BF040A"/>
    <w:rsid w:val="00C04356"/>
    <w:rsid w:val="00CC57A7"/>
    <w:rsid w:val="00CE7D6C"/>
    <w:rsid w:val="00DA1147"/>
    <w:rsid w:val="00E02753"/>
    <w:rsid w:val="00E4794A"/>
    <w:rsid w:val="00E60C76"/>
    <w:rsid w:val="00E909E4"/>
    <w:rsid w:val="00F2532B"/>
    <w:rsid w:val="00F3650D"/>
    <w:rsid w:val="00F81593"/>
    <w:rsid w:val="00FC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5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505"/>
  </w:style>
  <w:style w:type="paragraph" w:styleId="Stopka">
    <w:name w:val="footer"/>
    <w:basedOn w:val="Normalny"/>
    <w:link w:val="StopkaZnak"/>
    <w:uiPriority w:val="99"/>
    <w:unhideWhenUsed/>
    <w:rsid w:val="000E5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505"/>
  </w:style>
  <w:style w:type="paragraph" w:styleId="Akapitzlist">
    <w:name w:val="List Paragraph"/>
    <w:basedOn w:val="Normalny"/>
    <w:uiPriority w:val="34"/>
    <w:qFormat/>
    <w:rsid w:val="000E5505"/>
    <w:pPr>
      <w:ind w:left="720"/>
      <w:contextualSpacing/>
    </w:pPr>
  </w:style>
  <w:style w:type="table" w:styleId="Tabela-Siatka">
    <w:name w:val="Table Grid"/>
    <w:basedOn w:val="Standardowy"/>
    <w:uiPriority w:val="39"/>
    <w:rsid w:val="00253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4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5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505"/>
  </w:style>
  <w:style w:type="paragraph" w:styleId="Stopka">
    <w:name w:val="footer"/>
    <w:basedOn w:val="Normalny"/>
    <w:link w:val="StopkaZnak"/>
    <w:uiPriority w:val="99"/>
    <w:unhideWhenUsed/>
    <w:rsid w:val="000E5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505"/>
  </w:style>
  <w:style w:type="paragraph" w:styleId="Akapitzlist">
    <w:name w:val="List Paragraph"/>
    <w:basedOn w:val="Normalny"/>
    <w:uiPriority w:val="34"/>
    <w:qFormat/>
    <w:rsid w:val="000E5505"/>
    <w:pPr>
      <w:ind w:left="720"/>
      <w:contextualSpacing/>
    </w:pPr>
  </w:style>
  <w:style w:type="table" w:styleId="Tabela-Siatka">
    <w:name w:val="Table Grid"/>
    <w:basedOn w:val="Standardowy"/>
    <w:uiPriority w:val="39"/>
    <w:rsid w:val="00253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4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134B6-7A4C-45C5-9A6D-A58048F4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1316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Kołsut</dc:creator>
  <cp:lastModifiedBy>Wanda Sęktas</cp:lastModifiedBy>
  <cp:revision>2</cp:revision>
  <cp:lastPrinted>2015-11-02T14:18:00Z</cp:lastPrinted>
  <dcterms:created xsi:type="dcterms:W3CDTF">2015-11-09T08:02:00Z</dcterms:created>
  <dcterms:modified xsi:type="dcterms:W3CDTF">2015-11-09T08:02:00Z</dcterms:modified>
</cp:coreProperties>
</file>