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7DF" w:rsidRPr="00F30F96" w:rsidRDefault="005717DF" w:rsidP="005717DF">
      <w:pPr>
        <w:jc w:val="center"/>
        <w:rPr>
          <w:b/>
          <w:szCs w:val="20"/>
        </w:rPr>
      </w:pPr>
      <w:r w:rsidRPr="00F30F96">
        <w:rPr>
          <w:b/>
          <w:szCs w:val="20"/>
        </w:rPr>
        <w:t>Ankieta konsultacyjna Strategii Rozwoju Miasta Siedlce do 2025r.</w:t>
      </w:r>
    </w:p>
    <w:p w:rsidR="00F0445F" w:rsidRDefault="00F0445F" w:rsidP="00E01172">
      <w:pPr>
        <w:jc w:val="both"/>
        <w:rPr>
          <w:sz w:val="20"/>
          <w:szCs w:val="20"/>
        </w:rPr>
      </w:pPr>
    </w:p>
    <w:p w:rsidR="00E87245" w:rsidRPr="00A96D6D" w:rsidRDefault="00E87245" w:rsidP="00E01172">
      <w:pPr>
        <w:jc w:val="both"/>
        <w:rPr>
          <w:sz w:val="20"/>
          <w:szCs w:val="20"/>
        </w:rPr>
      </w:pPr>
      <w:r w:rsidRPr="00A96D6D">
        <w:rPr>
          <w:sz w:val="20"/>
          <w:szCs w:val="20"/>
        </w:rPr>
        <w:t xml:space="preserve">W ankiecie zostaną zaprezentowane cele strategiczne i </w:t>
      </w:r>
      <w:r w:rsidR="00E01172" w:rsidRPr="00A96D6D">
        <w:rPr>
          <w:sz w:val="20"/>
          <w:szCs w:val="20"/>
        </w:rPr>
        <w:t>szczegółowe</w:t>
      </w:r>
      <w:r w:rsidRPr="00A96D6D">
        <w:rPr>
          <w:sz w:val="20"/>
          <w:szCs w:val="20"/>
        </w:rPr>
        <w:t xml:space="preserve"> sformułowane w Strategii Rozwoju Miasta </w:t>
      </w:r>
      <w:r w:rsidR="00E01172" w:rsidRPr="00A96D6D">
        <w:rPr>
          <w:sz w:val="20"/>
          <w:szCs w:val="20"/>
        </w:rPr>
        <w:t>Siedlce</w:t>
      </w:r>
      <w:r w:rsidRPr="00A96D6D">
        <w:rPr>
          <w:sz w:val="20"/>
          <w:szCs w:val="20"/>
        </w:rPr>
        <w:t xml:space="preserve">. Prosimy o ocenę, w jakim stopniu wymienione cele można utożsamić z Państwa poglądami na cele rozwojowe </w:t>
      </w:r>
      <w:r w:rsidR="00E01172" w:rsidRPr="00A96D6D">
        <w:rPr>
          <w:sz w:val="20"/>
          <w:szCs w:val="20"/>
        </w:rPr>
        <w:t>Siedlec.</w:t>
      </w:r>
      <w:r w:rsidR="00F30F96">
        <w:rPr>
          <w:sz w:val="20"/>
          <w:szCs w:val="20"/>
        </w:rPr>
        <w:t xml:space="preserve"> Pod każdym z celów szczegółowych zamieszczono tabelę z pięcioma możliwymi odpowiedziami, na pytanie </w:t>
      </w:r>
      <w:r w:rsidR="00F30F96" w:rsidRPr="00F30F96">
        <w:rPr>
          <w:b/>
          <w:szCs w:val="20"/>
        </w:rPr>
        <w:t>„Czy Pani/Pana zdaniem wymieniony cel powinien być realizowany”</w:t>
      </w:r>
      <w:r w:rsidR="00F30F96">
        <w:rPr>
          <w:sz w:val="20"/>
          <w:szCs w:val="20"/>
        </w:rPr>
        <w:t>. Prosimy zaznaczyć jedną odpowiedź najtrafniej wyrażającą Pani/Pana opinię.</w:t>
      </w:r>
    </w:p>
    <w:p w:rsidR="00E01172" w:rsidRPr="00A96D6D" w:rsidRDefault="00E01172" w:rsidP="00E87245">
      <w:pPr>
        <w:ind w:left="360"/>
        <w:jc w:val="both"/>
        <w:rPr>
          <w:sz w:val="20"/>
          <w:szCs w:val="20"/>
        </w:rPr>
      </w:pPr>
    </w:p>
    <w:p w:rsidR="00E87245" w:rsidRPr="008361A3" w:rsidRDefault="00E01172" w:rsidP="00E01172">
      <w:pPr>
        <w:pStyle w:val="Akapitzlist"/>
        <w:numPr>
          <w:ilvl w:val="1"/>
          <w:numId w:val="1"/>
        </w:numPr>
        <w:ind w:left="840"/>
        <w:jc w:val="both"/>
        <w:rPr>
          <w:b/>
          <w:sz w:val="20"/>
          <w:szCs w:val="20"/>
        </w:rPr>
      </w:pPr>
      <w:bookmarkStart w:id="0" w:name="_Toc428877562"/>
      <w:r w:rsidRPr="008361A3">
        <w:rPr>
          <w:b/>
          <w:sz w:val="20"/>
          <w:szCs w:val="20"/>
        </w:rPr>
        <w:t>Cel strategiczny 1: Trwały i stabilny rozwój nowoczesnej gospodarki</w:t>
      </w:r>
      <w:bookmarkEnd w:id="0"/>
    </w:p>
    <w:p w:rsidR="00E87245" w:rsidRPr="008361A3" w:rsidRDefault="00E01172" w:rsidP="00E01172">
      <w:pPr>
        <w:pStyle w:val="Akapitzlist"/>
        <w:numPr>
          <w:ilvl w:val="2"/>
          <w:numId w:val="1"/>
        </w:numPr>
        <w:ind w:left="1200" w:hanging="240"/>
        <w:jc w:val="both"/>
        <w:rPr>
          <w:b/>
          <w:sz w:val="20"/>
          <w:szCs w:val="20"/>
        </w:rPr>
      </w:pPr>
      <w:r w:rsidRPr="008361A3">
        <w:rPr>
          <w:b/>
          <w:sz w:val="20"/>
          <w:szCs w:val="20"/>
        </w:rPr>
        <w:t>Cel szczegółowy 1.1. Podejmowanie działań służących pozyskiwaniu inwestorów</w:t>
      </w:r>
    </w:p>
    <w:p w:rsidR="00E87245" w:rsidRPr="008361A3" w:rsidRDefault="00E01172" w:rsidP="00E01172">
      <w:pPr>
        <w:ind w:left="960"/>
        <w:jc w:val="both"/>
        <w:rPr>
          <w:sz w:val="18"/>
          <w:szCs w:val="20"/>
        </w:rPr>
      </w:pPr>
      <w:r w:rsidRPr="008361A3">
        <w:rPr>
          <w:sz w:val="18"/>
          <w:szCs w:val="20"/>
        </w:rPr>
        <w:t>Pierwszy cel szczegółowy dotyczący gospodarki koncentruje się na działaniach zmierzających do pozyskania inwestorów. Ma on na celu wykorzystanie najważniejszych mocnych stron miasta (tereny specjalnej strefy ekonomicznej, dobre położenie miasta) powiązanych z zarysowującymi się w otoczeniu szansami (przedłużenie funkcjonowania specjalnych stref ekonomicznych i budowa odcinka autostrady A2). Działania zmierzające do osiągnięcia tego celu powinny więc koncentrować się na podtrzymywaniu dobrych relacji z władzami SSE, koncentracji inwestycyjnej w zakresie infrastruktury technicznej (wyposażenie terenów inwestycyjnych w potrzebne media) oraz rozbudowie i udoskonalaniu systemu informacji i marketingu biznesowego. W tym kontekście szczególnie ważnym elementem powinna być współpraca z gminą Siedlce, na terenie której znajduje się znacznie większa powierzchnia potencjalnych obszarów inwestycyjnych.</w:t>
      </w:r>
    </w:p>
    <w:tbl>
      <w:tblPr>
        <w:tblStyle w:val="Tabela-Siatka"/>
        <w:tblW w:w="0" w:type="auto"/>
        <w:tblInd w:w="108" w:type="dxa"/>
        <w:tblLook w:val="04A0"/>
      </w:tblPr>
      <w:tblGrid>
        <w:gridCol w:w="360"/>
        <w:gridCol w:w="8263"/>
        <w:gridCol w:w="376"/>
      </w:tblGrid>
      <w:tr w:rsidR="00E87245" w:rsidRPr="00A96D6D" w:rsidTr="00F30F96">
        <w:trPr>
          <w:trHeight w:val="360"/>
        </w:trPr>
        <w:tc>
          <w:tcPr>
            <w:tcW w:w="360" w:type="dxa"/>
            <w:shd w:val="clear" w:color="auto" w:fill="D9D9D9" w:themeFill="background1" w:themeFillShade="D9"/>
            <w:vAlign w:val="center"/>
          </w:tcPr>
          <w:p w:rsidR="00E87245" w:rsidRPr="00A96D6D" w:rsidRDefault="00E87245" w:rsidP="00F30F96">
            <w:pPr>
              <w:pStyle w:val="Akapitzlist"/>
              <w:spacing w:after="0" w:line="240" w:lineRule="auto"/>
              <w:ind w:left="0"/>
              <w:jc w:val="center"/>
              <w:rPr>
                <w:sz w:val="20"/>
                <w:szCs w:val="20"/>
              </w:rPr>
            </w:pPr>
            <w:r w:rsidRPr="00A96D6D">
              <w:rPr>
                <w:sz w:val="20"/>
                <w:szCs w:val="20"/>
              </w:rPr>
              <w:t>1</w:t>
            </w:r>
          </w:p>
        </w:tc>
        <w:tc>
          <w:tcPr>
            <w:tcW w:w="8263" w:type="dxa"/>
            <w:shd w:val="clear" w:color="auto" w:fill="D9D9D9" w:themeFill="background1" w:themeFillShade="D9"/>
            <w:vAlign w:val="center"/>
          </w:tcPr>
          <w:p w:rsidR="00E87245" w:rsidRPr="00A96D6D" w:rsidRDefault="00E87245" w:rsidP="00F30F96">
            <w:pPr>
              <w:pStyle w:val="Akapitzlist"/>
              <w:spacing w:after="0" w:line="240" w:lineRule="auto"/>
              <w:ind w:left="0"/>
              <w:rPr>
                <w:sz w:val="20"/>
                <w:szCs w:val="20"/>
              </w:rPr>
            </w:pPr>
            <w:r w:rsidRPr="00A96D6D">
              <w:rPr>
                <w:sz w:val="20"/>
                <w:szCs w:val="20"/>
              </w:rPr>
              <w:t>Zdecydowanie zgadzam się, że taki cel powinien być realizowany priorytetowo</w:t>
            </w:r>
          </w:p>
        </w:tc>
        <w:tc>
          <w:tcPr>
            <w:tcW w:w="376" w:type="dxa"/>
            <w:vAlign w:val="center"/>
          </w:tcPr>
          <w:p w:rsidR="00E87245" w:rsidRPr="00A96D6D" w:rsidRDefault="00E87245" w:rsidP="00F30F96">
            <w:pPr>
              <w:pStyle w:val="Akapitzlist"/>
              <w:spacing w:after="0" w:line="240" w:lineRule="auto"/>
              <w:ind w:left="0"/>
              <w:jc w:val="center"/>
              <w:rPr>
                <w:sz w:val="20"/>
                <w:szCs w:val="20"/>
              </w:rPr>
            </w:pPr>
          </w:p>
        </w:tc>
      </w:tr>
      <w:tr w:rsidR="00E87245" w:rsidRPr="00A96D6D" w:rsidTr="00F30F96">
        <w:trPr>
          <w:trHeight w:val="360"/>
        </w:trPr>
        <w:tc>
          <w:tcPr>
            <w:tcW w:w="360" w:type="dxa"/>
            <w:shd w:val="clear" w:color="auto" w:fill="D9D9D9" w:themeFill="background1" w:themeFillShade="D9"/>
            <w:vAlign w:val="center"/>
          </w:tcPr>
          <w:p w:rsidR="00E87245" w:rsidRPr="00A96D6D" w:rsidRDefault="00E87245" w:rsidP="00F30F96">
            <w:pPr>
              <w:pStyle w:val="Akapitzlist"/>
              <w:spacing w:after="0" w:line="240" w:lineRule="auto"/>
              <w:ind w:left="0"/>
              <w:jc w:val="center"/>
              <w:rPr>
                <w:sz w:val="20"/>
                <w:szCs w:val="20"/>
              </w:rPr>
            </w:pPr>
            <w:r w:rsidRPr="00A96D6D">
              <w:rPr>
                <w:sz w:val="20"/>
                <w:szCs w:val="20"/>
              </w:rPr>
              <w:t>2</w:t>
            </w:r>
          </w:p>
        </w:tc>
        <w:tc>
          <w:tcPr>
            <w:tcW w:w="8263" w:type="dxa"/>
            <w:shd w:val="clear" w:color="auto" w:fill="D9D9D9" w:themeFill="background1" w:themeFillShade="D9"/>
            <w:vAlign w:val="center"/>
          </w:tcPr>
          <w:p w:rsidR="00E87245" w:rsidRPr="00A96D6D" w:rsidRDefault="00E87245" w:rsidP="00F30F96">
            <w:pPr>
              <w:pStyle w:val="Akapitzlist"/>
              <w:spacing w:after="0" w:line="240" w:lineRule="auto"/>
              <w:ind w:left="0"/>
              <w:rPr>
                <w:sz w:val="20"/>
                <w:szCs w:val="20"/>
              </w:rPr>
            </w:pPr>
            <w:r w:rsidRPr="00A96D6D">
              <w:rPr>
                <w:sz w:val="20"/>
                <w:szCs w:val="20"/>
              </w:rPr>
              <w:t>Raczej zgadzam się, że taki cel powinien być realizowany, ale nie priorytetowo</w:t>
            </w:r>
          </w:p>
        </w:tc>
        <w:tc>
          <w:tcPr>
            <w:tcW w:w="376" w:type="dxa"/>
            <w:vAlign w:val="center"/>
          </w:tcPr>
          <w:p w:rsidR="00E87245" w:rsidRPr="00A96D6D" w:rsidRDefault="00E87245" w:rsidP="00F30F96">
            <w:pPr>
              <w:pStyle w:val="Akapitzlist"/>
              <w:spacing w:after="0" w:line="240" w:lineRule="auto"/>
              <w:ind w:left="0"/>
              <w:jc w:val="center"/>
              <w:rPr>
                <w:sz w:val="20"/>
                <w:szCs w:val="20"/>
              </w:rPr>
            </w:pPr>
          </w:p>
        </w:tc>
      </w:tr>
      <w:tr w:rsidR="00E87245" w:rsidRPr="00A96D6D" w:rsidTr="00F30F96">
        <w:trPr>
          <w:trHeight w:val="360"/>
        </w:trPr>
        <w:tc>
          <w:tcPr>
            <w:tcW w:w="360" w:type="dxa"/>
            <w:shd w:val="clear" w:color="auto" w:fill="D9D9D9" w:themeFill="background1" w:themeFillShade="D9"/>
            <w:vAlign w:val="center"/>
          </w:tcPr>
          <w:p w:rsidR="00E87245" w:rsidRPr="00A96D6D" w:rsidRDefault="00E87245" w:rsidP="00F30F96">
            <w:pPr>
              <w:pStyle w:val="Akapitzlist"/>
              <w:spacing w:after="0" w:line="240" w:lineRule="auto"/>
              <w:ind w:left="0"/>
              <w:jc w:val="center"/>
              <w:rPr>
                <w:sz w:val="20"/>
                <w:szCs w:val="20"/>
              </w:rPr>
            </w:pPr>
            <w:r w:rsidRPr="00A96D6D">
              <w:rPr>
                <w:sz w:val="20"/>
                <w:szCs w:val="20"/>
              </w:rPr>
              <w:t>3</w:t>
            </w:r>
          </w:p>
        </w:tc>
        <w:tc>
          <w:tcPr>
            <w:tcW w:w="8263" w:type="dxa"/>
            <w:shd w:val="clear" w:color="auto" w:fill="D9D9D9" w:themeFill="background1" w:themeFillShade="D9"/>
            <w:vAlign w:val="center"/>
          </w:tcPr>
          <w:p w:rsidR="00E87245" w:rsidRPr="00A96D6D" w:rsidRDefault="00E87245" w:rsidP="00F30F96">
            <w:pPr>
              <w:pStyle w:val="Akapitzlist"/>
              <w:spacing w:after="0" w:line="240" w:lineRule="auto"/>
              <w:ind w:left="0"/>
              <w:rPr>
                <w:sz w:val="20"/>
                <w:szCs w:val="20"/>
              </w:rPr>
            </w:pPr>
            <w:r w:rsidRPr="00A96D6D">
              <w:rPr>
                <w:sz w:val="20"/>
                <w:szCs w:val="20"/>
              </w:rPr>
              <w:t>Raczej nie zgadzam się, że taki cel powinien być re</w:t>
            </w:r>
            <w:r w:rsidR="00E01172" w:rsidRPr="00A96D6D">
              <w:rPr>
                <w:sz w:val="20"/>
                <w:szCs w:val="20"/>
              </w:rPr>
              <w:t>alizowany w perspektywie do 2025</w:t>
            </w:r>
            <w:r w:rsidRPr="00A96D6D">
              <w:rPr>
                <w:sz w:val="20"/>
                <w:szCs w:val="20"/>
              </w:rPr>
              <w:t xml:space="preserve"> r.</w:t>
            </w:r>
          </w:p>
        </w:tc>
        <w:tc>
          <w:tcPr>
            <w:tcW w:w="376" w:type="dxa"/>
            <w:vAlign w:val="center"/>
          </w:tcPr>
          <w:p w:rsidR="00E87245" w:rsidRPr="00A96D6D" w:rsidRDefault="00E87245" w:rsidP="00F30F96">
            <w:pPr>
              <w:pStyle w:val="Akapitzlist"/>
              <w:spacing w:after="0" w:line="240" w:lineRule="auto"/>
              <w:ind w:left="0"/>
              <w:jc w:val="center"/>
              <w:rPr>
                <w:sz w:val="20"/>
                <w:szCs w:val="20"/>
              </w:rPr>
            </w:pPr>
          </w:p>
        </w:tc>
      </w:tr>
      <w:tr w:rsidR="00E87245" w:rsidRPr="00A96D6D" w:rsidTr="00F30F96">
        <w:trPr>
          <w:trHeight w:val="360"/>
        </w:trPr>
        <w:tc>
          <w:tcPr>
            <w:tcW w:w="360" w:type="dxa"/>
            <w:shd w:val="clear" w:color="auto" w:fill="D9D9D9" w:themeFill="background1" w:themeFillShade="D9"/>
            <w:vAlign w:val="center"/>
          </w:tcPr>
          <w:p w:rsidR="00E87245" w:rsidRPr="00A96D6D" w:rsidRDefault="00E87245" w:rsidP="00F30F96">
            <w:pPr>
              <w:pStyle w:val="Akapitzlist"/>
              <w:spacing w:after="0" w:line="240" w:lineRule="auto"/>
              <w:ind w:left="0"/>
              <w:jc w:val="center"/>
              <w:rPr>
                <w:sz w:val="20"/>
                <w:szCs w:val="20"/>
              </w:rPr>
            </w:pPr>
            <w:r w:rsidRPr="00A96D6D">
              <w:rPr>
                <w:sz w:val="20"/>
                <w:szCs w:val="20"/>
              </w:rPr>
              <w:t>4</w:t>
            </w:r>
          </w:p>
        </w:tc>
        <w:tc>
          <w:tcPr>
            <w:tcW w:w="8263" w:type="dxa"/>
            <w:shd w:val="clear" w:color="auto" w:fill="D9D9D9" w:themeFill="background1" w:themeFillShade="D9"/>
            <w:vAlign w:val="center"/>
          </w:tcPr>
          <w:p w:rsidR="00E87245" w:rsidRPr="00A96D6D" w:rsidRDefault="00E87245" w:rsidP="00F30F96">
            <w:pPr>
              <w:pStyle w:val="Akapitzlist"/>
              <w:spacing w:after="0" w:line="240" w:lineRule="auto"/>
              <w:ind w:left="0"/>
              <w:rPr>
                <w:sz w:val="20"/>
                <w:szCs w:val="20"/>
              </w:rPr>
            </w:pPr>
            <w:r w:rsidRPr="00A96D6D">
              <w:rPr>
                <w:sz w:val="20"/>
                <w:szCs w:val="20"/>
              </w:rPr>
              <w:t>Nie zgadzam się, aby taki cel był w ogóle realizowany</w:t>
            </w:r>
          </w:p>
        </w:tc>
        <w:tc>
          <w:tcPr>
            <w:tcW w:w="376" w:type="dxa"/>
            <w:vAlign w:val="center"/>
          </w:tcPr>
          <w:p w:rsidR="00E87245" w:rsidRPr="00A96D6D" w:rsidRDefault="00E87245" w:rsidP="00F30F96">
            <w:pPr>
              <w:pStyle w:val="Akapitzlist"/>
              <w:spacing w:after="0" w:line="240" w:lineRule="auto"/>
              <w:ind w:left="0"/>
              <w:jc w:val="center"/>
              <w:rPr>
                <w:sz w:val="20"/>
                <w:szCs w:val="20"/>
              </w:rPr>
            </w:pPr>
          </w:p>
        </w:tc>
      </w:tr>
      <w:tr w:rsidR="00E87245" w:rsidRPr="00A96D6D" w:rsidTr="00F30F96">
        <w:trPr>
          <w:trHeight w:val="360"/>
        </w:trPr>
        <w:tc>
          <w:tcPr>
            <w:tcW w:w="360" w:type="dxa"/>
            <w:shd w:val="clear" w:color="auto" w:fill="D9D9D9" w:themeFill="background1" w:themeFillShade="D9"/>
            <w:vAlign w:val="center"/>
          </w:tcPr>
          <w:p w:rsidR="00E87245" w:rsidRPr="00A96D6D" w:rsidRDefault="00E87245" w:rsidP="00F30F96">
            <w:pPr>
              <w:pStyle w:val="Akapitzlist"/>
              <w:spacing w:after="0" w:line="240" w:lineRule="auto"/>
              <w:ind w:left="0"/>
              <w:jc w:val="center"/>
              <w:rPr>
                <w:sz w:val="20"/>
                <w:szCs w:val="20"/>
              </w:rPr>
            </w:pPr>
            <w:r w:rsidRPr="00A96D6D">
              <w:rPr>
                <w:sz w:val="20"/>
                <w:szCs w:val="20"/>
              </w:rPr>
              <w:t>5</w:t>
            </w:r>
          </w:p>
        </w:tc>
        <w:tc>
          <w:tcPr>
            <w:tcW w:w="8263" w:type="dxa"/>
            <w:shd w:val="clear" w:color="auto" w:fill="D9D9D9" w:themeFill="background1" w:themeFillShade="D9"/>
            <w:vAlign w:val="center"/>
          </w:tcPr>
          <w:p w:rsidR="00E87245" w:rsidRPr="00A96D6D" w:rsidRDefault="00E87245" w:rsidP="00F30F96">
            <w:pPr>
              <w:pStyle w:val="Akapitzlist"/>
              <w:spacing w:after="0" w:line="240" w:lineRule="auto"/>
              <w:ind w:left="0"/>
              <w:rPr>
                <w:sz w:val="20"/>
                <w:szCs w:val="20"/>
              </w:rPr>
            </w:pPr>
            <w:r w:rsidRPr="00A96D6D">
              <w:rPr>
                <w:sz w:val="20"/>
                <w:szCs w:val="20"/>
              </w:rPr>
              <w:t>Nie mam zdania</w:t>
            </w:r>
          </w:p>
        </w:tc>
        <w:tc>
          <w:tcPr>
            <w:tcW w:w="376" w:type="dxa"/>
            <w:vAlign w:val="center"/>
          </w:tcPr>
          <w:p w:rsidR="00E87245" w:rsidRPr="00A96D6D" w:rsidRDefault="00E87245" w:rsidP="00F30F96">
            <w:pPr>
              <w:pStyle w:val="Akapitzlist"/>
              <w:spacing w:after="0" w:line="240" w:lineRule="auto"/>
              <w:ind w:left="0"/>
              <w:jc w:val="center"/>
              <w:rPr>
                <w:sz w:val="20"/>
                <w:szCs w:val="20"/>
              </w:rPr>
            </w:pPr>
          </w:p>
        </w:tc>
      </w:tr>
    </w:tbl>
    <w:p w:rsidR="00A96D6D" w:rsidRDefault="00A96D6D" w:rsidP="00A96D6D">
      <w:pPr>
        <w:rPr>
          <w:rFonts w:cs="Arial"/>
          <w:b/>
          <w:bCs/>
          <w:sz w:val="20"/>
          <w:szCs w:val="20"/>
        </w:rPr>
      </w:pPr>
    </w:p>
    <w:p w:rsidR="00A96D6D" w:rsidRPr="00F30F96" w:rsidRDefault="00A96D6D" w:rsidP="00F30F96">
      <w:pPr>
        <w:pStyle w:val="Akapitzlist"/>
        <w:numPr>
          <w:ilvl w:val="2"/>
          <w:numId w:val="1"/>
        </w:numPr>
        <w:ind w:left="1200" w:hanging="240"/>
        <w:jc w:val="both"/>
        <w:rPr>
          <w:b/>
          <w:sz w:val="20"/>
          <w:szCs w:val="20"/>
        </w:rPr>
      </w:pPr>
      <w:r w:rsidRPr="00F30F96">
        <w:rPr>
          <w:b/>
          <w:sz w:val="20"/>
          <w:szCs w:val="20"/>
        </w:rPr>
        <w:t>Cel szczegółowy 1.2. Wspieranie rozwoju lokalnej przedsiębiorczości</w:t>
      </w:r>
    </w:p>
    <w:p w:rsidR="00E87245" w:rsidRPr="00F30F96" w:rsidRDefault="00A96D6D" w:rsidP="00F30F96">
      <w:pPr>
        <w:ind w:left="960"/>
        <w:jc w:val="both"/>
        <w:rPr>
          <w:sz w:val="18"/>
          <w:szCs w:val="20"/>
        </w:rPr>
      </w:pPr>
      <w:r w:rsidRPr="00F30F96">
        <w:rPr>
          <w:sz w:val="18"/>
          <w:szCs w:val="20"/>
        </w:rPr>
        <w:t>Diagnoza stanu istniejącego potwierdziła wysoki potencjał lokalnej przedsiębiorczości, głównie w sektorze małych i średnich firm. Należy podkreślić, że miasto w dalszym ciągu powinno konsekwentnie wspierać rozwój tych podmiotów. W tej kwestii trzeba podkreślić szczególną rolę sektorów usług społecznych, handlu, przemysłu spożywczego i maszynowego oraz budownictwa, które wydają się być podstawą bazy ekonomicznej miasta. Warto również w prowadzonych działaniach (szczególnie w zakresie obiektów handlowych) wspierać lokalne przedsiębiorstwa. W realizacji tego celu będą pomocne wszelkie formy interakcji samorządu terytorialnego i lokalnego biznesu oraz stymulowanie współdziałania między firmami (np. poprzez tworzenie klastrów). Ciągła współpraca i konsultacje zapewnią wzajemne zaufanie i dobry klimat do dalszego rozwoju. Ponadto, podobnie jak w przypadku poprzedniego celu, należy skoncentrować presję inwestycyjną w zakresie infrastruktury na wsparciu lokalnej przedsiębiorczości. Dodatkowe działania powinny dążyć do dalszej integracji miejscowej edukacji na poziomie zawodowym, średnim i wyższym z podmiotami gospodarczymi.</w:t>
      </w:r>
    </w:p>
    <w:tbl>
      <w:tblPr>
        <w:tblStyle w:val="Tabela-Siatka"/>
        <w:tblW w:w="0" w:type="auto"/>
        <w:tblInd w:w="108" w:type="dxa"/>
        <w:tblLook w:val="04A0"/>
      </w:tblPr>
      <w:tblGrid>
        <w:gridCol w:w="360"/>
        <w:gridCol w:w="8263"/>
        <w:gridCol w:w="376"/>
      </w:tblGrid>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1</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Zdecydowanie zgadzam się, że taki cel powinien być realizowany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2</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zgadzam się, że taki cel powinien być realizowany, ale nie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3</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nie zgadzam się, że taki cel powinien być realizowany w perspektywie do 2025 r.</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4</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zgadzam się, aby taki cel był w ogóle realizowany</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5</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mam zdania</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bl>
    <w:p w:rsidR="001F3867" w:rsidRDefault="001F3867">
      <w:pPr>
        <w:rPr>
          <w:sz w:val="20"/>
          <w:szCs w:val="20"/>
        </w:rPr>
      </w:pPr>
    </w:p>
    <w:p w:rsidR="00A96D6D" w:rsidRPr="00F30F96" w:rsidRDefault="00A96D6D" w:rsidP="00F30F96">
      <w:pPr>
        <w:pStyle w:val="Akapitzlist"/>
        <w:numPr>
          <w:ilvl w:val="2"/>
          <w:numId w:val="1"/>
        </w:numPr>
        <w:ind w:left="1200" w:hanging="240"/>
        <w:jc w:val="both"/>
        <w:rPr>
          <w:b/>
          <w:sz w:val="20"/>
          <w:szCs w:val="20"/>
        </w:rPr>
      </w:pPr>
      <w:r w:rsidRPr="00F30F96">
        <w:rPr>
          <w:b/>
          <w:sz w:val="20"/>
          <w:szCs w:val="20"/>
        </w:rPr>
        <w:t>Cel szczegółowy 1.3. Ograniczenie bezrobocia</w:t>
      </w:r>
    </w:p>
    <w:p w:rsidR="00A96D6D" w:rsidRPr="00F30F96" w:rsidRDefault="00A96D6D" w:rsidP="00F30F96">
      <w:pPr>
        <w:ind w:left="960"/>
        <w:jc w:val="both"/>
        <w:rPr>
          <w:sz w:val="18"/>
          <w:szCs w:val="20"/>
        </w:rPr>
      </w:pPr>
      <w:r w:rsidRPr="00F30F96">
        <w:rPr>
          <w:sz w:val="18"/>
          <w:szCs w:val="20"/>
        </w:rPr>
        <w:lastRenderedPageBreak/>
        <w:t xml:space="preserve">Bezrobocie jest negatywnym zjawiskiem polegającym na nierównowadze na rynku pracy. Jego ograniczenie może odbywać się poprzez podejmowanie działań służących pozyskiwaniu inwestorów (cel szczegółowy 1.1.) oraz wspieranie lokalnej przedsiębiorczości (cel szczegółowy 1.2.), co pokazuje dość duży związek tego celu z dwoma poprzednimi. Co prawda diagnoza stanu wykazała, że poziom bezrobocia w Siedlcach jest nieco niższy niż średnia dla miast </w:t>
      </w:r>
      <w:proofErr w:type="spellStart"/>
      <w:r w:rsidRPr="00F30F96">
        <w:rPr>
          <w:sz w:val="18"/>
          <w:szCs w:val="20"/>
        </w:rPr>
        <w:t>subregionalnych</w:t>
      </w:r>
      <w:proofErr w:type="spellEnd"/>
      <w:r w:rsidRPr="00F30F96">
        <w:rPr>
          <w:sz w:val="18"/>
          <w:szCs w:val="20"/>
        </w:rPr>
        <w:t xml:space="preserve"> z grupy porównawczej, jednak jego poziom jest ciągle niezadowalający. Oprócz działań pośrednich polegających na wsparciu gospodarki, ograniczanie bezrobocia może odbywać się poprzez podnoszenie poziomu tzw. kapitału ludzkiego i społecznego. W tym celu należy kontynuować program szkoleń dla osób tracących pracę i wykorzystywać dopasowane do sytuacji instrumenty i usługi odpowiednich jednostek publicznych (przede wszystkim urzędu pracy). Ponadto, powinno się zwalczać problem bezrobocia u źródła, tj. poprzez odpowiednie kształtowanie profilu absolwentów. Odpowiednie, tzn. takie, które jest adekwatne do potencjalnych ofert pracy istniejących na rynku.</w:t>
      </w:r>
    </w:p>
    <w:tbl>
      <w:tblPr>
        <w:tblStyle w:val="Tabela-Siatka"/>
        <w:tblW w:w="0" w:type="auto"/>
        <w:tblInd w:w="108" w:type="dxa"/>
        <w:tblLook w:val="04A0"/>
      </w:tblPr>
      <w:tblGrid>
        <w:gridCol w:w="360"/>
        <w:gridCol w:w="8263"/>
        <w:gridCol w:w="376"/>
      </w:tblGrid>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1</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Zdecydowanie zgadzam się, że taki cel powinien być realizowany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2</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zgadzam się, że taki cel powinien być realizowany, ale nie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3</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nie zgadzam się, że taki cel powinien być realizowany w perspektywie do 2025 r.</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4</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zgadzam się, aby taki cel był w ogóle realizowany</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5</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mam zdania</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bl>
    <w:p w:rsidR="00A96D6D" w:rsidRDefault="00A96D6D" w:rsidP="00A96D6D">
      <w:pPr>
        <w:rPr>
          <w:rFonts w:ascii="Arial" w:hAnsi="Arial" w:cs="Arial"/>
          <w:bCs/>
          <w:szCs w:val="24"/>
        </w:rPr>
      </w:pPr>
    </w:p>
    <w:p w:rsidR="00A96D6D" w:rsidRPr="00F30F96" w:rsidRDefault="00A96D6D" w:rsidP="00F30F96">
      <w:pPr>
        <w:pStyle w:val="Akapitzlist"/>
        <w:numPr>
          <w:ilvl w:val="2"/>
          <w:numId w:val="1"/>
        </w:numPr>
        <w:ind w:left="1200" w:hanging="240"/>
        <w:jc w:val="both"/>
        <w:rPr>
          <w:b/>
          <w:sz w:val="20"/>
          <w:szCs w:val="20"/>
        </w:rPr>
      </w:pPr>
      <w:r w:rsidRPr="00F30F96">
        <w:rPr>
          <w:b/>
          <w:sz w:val="20"/>
          <w:szCs w:val="20"/>
        </w:rPr>
        <w:t xml:space="preserve">Cel szczegółowy 1.4. Rozwój turystyki </w:t>
      </w:r>
    </w:p>
    <w:p w:rsidR="00A96D6D" w:rsidRPr="00F30F96" w:rsidRDefault="00A96D6D" w:rsidP="00F30F96">
      <w:pPr>
        <w:ind w:left="960"/>
        <w:jc w:val="both"/>
        <w:rPr>
          <w:sz w:val="18"/>
          <w:szCs w:val="20"/>
        </w:rPr>
      </w:pPr>
      <w:r w:rsidRPr="00F30F96">
        <w:rPr>
          <w:sz w:val="18"/>
          <w:szCs w:val="20"/>
        </w:rPr>
        <w:t xml:space="preserve">Turystyka jest branżą podlegającą specyficznym czynnikom rozwojowym. Kluczowe są w niej przede wszystkim przyrodnicze i kulturowe atrakcje turystyczne. Trzeba jednak dodać, że przy tak dużej, aktualnie dostępnej ofercie turystycznej w Polsce i poza granicami kraju, stworzenie ośrodka turystycznego z prawdziwego zdarzenia jest zadaniem trudnym. Władze miasta chcą jednak podjąć to wyzwanie i część wsparcia lokalnej gospodarki skoncentrować na turystyce. W świetle przeprowadzonej diagnozy, atrakcyjność turystyczna miasta może opierać się na zasobach przyrodniczych oraz kulturowych (wysokiej jakości oferta kulturalna). Grupą docelową mogą być tzw. turyści biznesowi, przyjeżdżający do miasta w celach służbowych. Ponadto inwestując w infrastrukturę turystyczną, miasto będzie miało na uwadze jej zastosowanie do celów rekreacyjnych służących mieszkańcom Siedlec. Wśród potencjalnych działań powinno dążyć się do promocji istniejących walorów i zasobów turystycznych oraz rozwoju infrastruktury okołobiznesowej. Ważne będą również sieciowe (drogi rowerowe, szlaki turystyczne) oraz przyrodnicze (tereny zielone, Zalew nad </w:t>
      </w:r>
      <w:proofErr w:type="spellStart"/>
      <w:r w:rsidRPr="00F30F96">
        <w:rPr>
          <w:sz w:val="18"/>
          <w:szCs w:val="20"/>
        </w:rPr>
        <w:t>Muchawką</w:t>
      </w:r>
      <w:proofErr w:type="spellEnd"/>
      <w:r w:rsidRPr="00F30F96">
        <w:rPr>
          <w:sz w:val="18"/>
          <w:szCs w:val="20"/>
        </w:rPr>
        <w:t>, Błonia Siedleckie, Park Aleksandria) elementy infrastruktury turystycznej, możliwe do wykorzystania również w celach rekreacyjnych.</w:t>
      </w:r>
    </w:p>
    <w:tbl>
      <w:tblPr>
        <w:tblStyle w:val="Tabela-Siatka"/>
        <w:tblW w:w="0" w:type="auto"/>
        <w:tblInd w:w="108" w:type="dxa"/>
        <w:tblLook w:val="04A0"/>
      </w:tblPr>
      <w:tblGrid>
        <w:gridCol w:w="360"/>
        <w:gridCol w:w="8263"/>
        <w:gridCol w:w="376"/>
      </w:tblGrid>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1</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Zdecydowanie zgadzam się, że taki cel powinien być realizowany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2</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zgadzam się, że taki cel powinien być realizowany, ale nie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3</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nie zgadzam się, że taki cel powinien być realizowany w perspektywie do 2025 r.</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4</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zgadzam się, aby taki cel był w ogóle realizowany</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5</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mam zdania</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bl>
    <w:p w:rsidR="00A96D6D" w:rsidRDefault="00A96D6D" w:rsidP="00A96D6D">
      <w:pPr>
        <w:rPr>
          <w:rFonts w:ascii="Arial" w:hAnsi="Arial" w:cs="Arial"/>
          <w:bCs/>
          <w:szCs w:val="24"/>
        </w:rPr>
      </w:pPr>
    </w:p>
    <w:p w:rsidR="00A96D6D" w:rsidRPr="00F30F96" w:rsidRDefault="00A96D6D" w:rsidP="00F30F96">
      <w:pPr>
        <w:pStyle w:val="Akapitzlist"/>
        <w:numPr>
          <w:ilvl w:val="1"/>
          <w:numId w:val="1"/>
        </w:numPr>
        <w:ind w:left="840"/>
        <w:jc w:val="both"/>
        <w:rPr>
          <w:b/>
          <w:sz w:val="20"/>
          <w:szCs w:val="20"/>
        </w:rPr>
      </w:pPr>
      <w:bookmarkStart w:id="1" w:name="_Toc428877563"/>
      <w:r w:rsidRPr="00F30F96">
        <w:rPr>
          <w:b/>
          <w:sz w:val="20"/>
          <w:szCs w:val="20"/>
        </w:rPr>
        <w:t>Cel strategiczny 2: Umocnienie roli Siedlec jako regionalnego ośrodka administracji, edukacji, kultury i sportu</w:t>
      </w:r>
      <w:bookmarkEnd w:id="1"/>
    </w:p>
    <w:p w:rsidR="00A96D6D" w:rsidRPr="00F30F96" w:rsidRDefault="00A96D6D" w:rsidP="00F30F96">
      <w:pPr>
        <w:pStyle w:val="Akapitzlist"/>
        <w:numPr>
          <w:ilvl w:val="2"/>
          <w:numId w:val="1"/>
        </w:numPr>
        <w:ind w:left="1200" w:hanging="240"/>
        <w:jc w:val="both"/>
        <w:rPr>
          <w:b/>
          <w:sz w:val="20"/>
          <w:szCs w:val="20"/>
        </w:rPr>
      </w:pPr>
      <w:r w:rsidRPr="00F30F96">
        <w:rPr>
          <w:b/>
          <w:sz w:val="20"/>
          <w:szCs w:val="20"/>
        </w:rPr>
        <w:t>Cel szczegółowy 2.1. Utrzymanie i rozwój funkcji administracyjnych miasta</w:t>
      </w:r>
    </w:p>
    <w:p w:rsidR="00A96D6D" w:rsidRPr="00F30F96" w:rsidRDefault="00A96D6D" w:rsidP="00F30F96">
      <w:pPr>
        <w:ind w:left="960"/>
        <w:jc w:val="both"/>
        <w:rPr>
          <w:sz w:val="18"/>
          <w:szCs w:val="20"/>
        </w:rPr>
      </w:pPr>
      <w:r w:rsidRPr="00F30F96">
        <w:rPr>
          <w:sz w:val="18"/>
          <w:szCs w:val="20"/>
        </w:rPr>
        <w:t xml:space="preserve">Siedlce są miastem o wyraźnie ukształtowanej roli w regionalnym układzie osadniczym. Pełni również ponadlokalne funkcje społeczne. W świetle różnych wyzwań i prawidłowości wpływających na rozwój społeczno-gospodarczy miast, należy skupić się na zabieganiu o rozwój funkcji administracyjnych miasta. Wiadomo bowiem, że wraz z nimi bardzo często ulegają poprawie inne elementy sytuacji miasta (rynek pracy, usługi społeczne itp.). W tym celu będą podejmowane działania na rzecz pozyskania lokalizacji nowych instytucji publicznych w mieście i rozwijania istniejących (np. jednostka wojskowa). Trzeba dążyć do kooperacji z władzami państwowymi i budowania koalicji na rzecz wsparcia Siedlec i regionu. Ponadto, w ramach realizacji tego celu będzie prowadzona aktywna polityka współpracy z gminami sąsiadującymi z miastem (w tym głównie </w:t>
      </w:r>
      <w:r w:rsidRPr="00F30F96">
        <w:rPr>
          <w:sz w:val="18"/>
          <w:szCs w:val="20"/>
        </w:rPr>
        <w:lastRenderedPageBreak/>
        <w:t xml:space="preserve">z gminą wiejską Siedlce). Jest to z resztą forma wykorzystania istniejących w otoczeniu i zdiagnozowanych wcześniej szans (wszelkie fundusze zewnętrzne skierowane na wsparcie współpracy międzygminnej, w tym w ramach miejskiego obszaru funkcjonalnego Siedlec). Oprócz współpracy </w:t>
      </w:r>
      <w:proofErr w:type="spellStart"/>
      <w:r w:rsidRPr="00F30F96">
        <w:rPr>
          <w:sz w:val="18"/>
          <w:szCs w:val="20"/>
        </w:rPr>
        <w:t>międzysamorządowej</w:t>
      </w:r>
      <w:proofErr w:type="spellEnd"/>
      <w:r w:rsidRPr="00F30F96">
        <w:rPr>
          <w:sz w:val="18"/>
          <w:szCs w:val="20"/>
        </w:rPr>
        <w:t xml:space="preserve"> w skali lokalnej, będzie również kontynuowana i rozwijana kooperacja międzynarodowa poprzez różnego rodzaju wymiany społeczne, spotkania i wymiany partnerskie z miastami zagranicznymi.</w:t>
      </w:r>
    </w:p>
    <w:tbl>
      <w:tblPr>
        <w:tblStyle w:val="Tabela-Siatka"/>
        <w:tblW w:w="0" w:type="auto"/>
        <w:tblInd w:w="108" w:type="dxa"/>
        <w:tblLook w:val="04A0"/>
      </w:tblPr>
      <w:tblGrid>
        <w:gridCol w:w="360"/>
        <w:gridCol w:w="8263"/>
        <w:gridCol w:w="376"/>
      </w:tblGrid>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1</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Zdecydowanie zgadzam się, że taki cel powinien być realizowany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2</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zgadzam się, że taki cel powinien być realizowany, ale nie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3</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nie zgadzam się, że taki cel powinien być realizowany w perspektywie do 2025 r.</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4</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zgadzam się, aby taki cel był w ogóle realizowany</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5</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mam zdania</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bl>
    <w:p w:rsidR="00A96D6D" w:rsidRDefault="00A96D6D" w:rsidP="00A96D6D">
      <w:pPr>
        <w:rPr>
          <w:rFonts w:ascii="Arial" w:hAnsi="Arial" w:cs="Arial"/>
          <w:bCs/>
          <w:szCs w:val="24"/>
        </w:rPr>
      </w:pPr>
    </w:p>
    <w:p w:rsidR="00A96D6D" w:rsidRPr="00F30F96" w:rsidRDefault="00A96D6D" w:rsidP="00F30F96">
      <w:pPr>
        <w:pStyle w:val="Akapitzlist"/>
        <w:numPr>
          <w:ilvl w:val="2"/>
          <w:numId w:val="1"/>
        </w:numPr>
        <w:ind w:left="1200" w:hanging="240"/>
        <w:jc w:val="both"/>
        <w:rPr>
          <w:b/>
          <w:sz w:val="20"/>
          <w:szCs w:val="20"/>
        </w:rPr>
      </w:pPr>
      <w:r w:rsidRPr="00F30F96">
        <w:rPr>
          <w:b/>
          <w:sz w:val="20"/>
          <w:szCs w:val="20"/>
        </w:rPr>
        <w:t>Cel szczegółowy 2.2. Rozwój funkcji akademickich miasta</w:t>
      </w:r>
    </w:p>
    <w:p w:rsidR="00A96D6D" w:rsidRPr="00F30F96" w:rsidRDefault="00A96D6D" w:rsidP="00F30F96">
      <w:pPr>
        <w:ind w:left="960"/>
        <w:jc w:val="both"/>
        <w:rPr>
          <w:sz w:val="18"/>
          <w:szCs w:val="20"/>
        </w:rPr>
      </w:pPr>
      <w:r w:rsidRPr="00F30F96">
        <w:rPr>
          <w:sz w:val="18"/>
          <w:szCs w:val="20"/>
        </w:rPr>
        <w:t xml:space="preserve">Duże miasta czerpią swój potencjał innowacyjny i kreatywny przede wszystkim z pełnienia funkcji naukowych i akademickich. Siedlce są miastem średniej wielkości, jednak posiadają swoje uczelnie wyższe, w tym Uniwersytet. W ramach tego celu będą podejmowane działania na rzecz utrzymania i rozwoju funkcji związanych z lokalizacją w mieście uczelni wyższych. W świetle istniejących szans (brak konkurencyjnych ośrodków </w:t>
      </w:r>
      <w:proofErr w:type="spellStart"/>
      <w:r w:rsidRPr="00F30F96">
        <w:rPr>
          <w:sz w:val="18"/>
          <w:szCs w:val="20"/>
        </w:rPr>
        <w:t>subregionalnych</w:t>
      </w:r>
      <w:proofErr w:type="spellEnd"/>
      <w:r w:rsidRPr="00F30F96">
        <w:rPr>
          <w:sz w:val="18"/>
          <w:szCs w:val="20"/>
        </w:rPr>
        <w:t xml:space="preserve"> w najbliższej okolicy) oraz mocnych stron, trzeba wspierać promocję siedleckich uczelni, tworzyć platformę współpracy między miastem, uczelniami a lokalnym biznesem kształtując tym samym aktywnie stałe mechanizmy wymiany wiedzy między nauka a praktyką. W najbliższej przyszłości ważne będą również dla miasta działania zmierzające do integracji „pionowej” edukacji i dydaktyki, głównie w styku szkoły średnie – szkoły wyższe. Szereg działań podjętych w celu wzmocnienia akademickich funkcji miasta (głównie w sferze dydaktycznej i więziotwórczej) ma docelowo podnieść prestiż miasta i wpłynąć na jego pozycję. Trzeba jednak przygotować się i uwzględniać w dokonywanych wyborach, tendencje demograficzne </w:t>
      </w:r>
      <w:r w:rsidR="00265470">
        <w:rPr>
          <w:sz w:val="18"/>
          <w:szCs w:val="20"/>
        </w:rPr>
        <w:t>związane ze zmniejszającą się liczbą studentów, które w najbliższych latach mogą w znacznym stopniu zdeterminować politykę edukacyjną w szkolnictwie wyższym.</w:t>
      </w:r>
    </w:p>
    <w:tbl>
      <w:tblPr>
        <w:tblStyle w:val="Tabela-Siatka"/>
        <w:tblW w:w="0" w:type="auto"/>
        <w:tblInd w:w="108" w:type="dxa"/>
        <w:tblLook w:val="04A0"/>
      </w:tblPr>
      <w:tblGrid>
        <w:gridCol w:w="360"/>
        <w:gridCol w:w="8263"/>
        <w:gridCol w:w="376"/>
      </w:tblGrid>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1</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Zdecydowanie zgadzam się, że taki cel powinien być realizowany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2</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zgadzam się, że taki cel powinien być realizowany, ale nie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3</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nie zgadzam się, że taki cel powinien być realizowany w perspektywie do 2025 r.</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4</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zgadzam się, aby taki cel był w ogóle realizowany</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5</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mam zdania</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bl>
    <w:p w:rsidR="00A96D6D" w:rsidRDefault="00A96D6D" w:rsidP="00A96D6D">
      <w:pPr>
        <w:rPr>
          <w:rFonts w:ascii="Arial" w:hAnsi="Arial" w:cs="Arial"/>
          <w:bCs/>
          <w:szCs w:val="24"/>
        </w:rPr>
      </w:pPr>
    </w:p>
    <w:p w:rsidR="00A96D6D" w:rsidRPr="00F30F96" w:rsidRDefault="00A96D6D" w:rsidP="00F30F96">
      <w:pPr>
        <w:pStyle w:val="Akapitzlist"/>
        <w:numPr>
          <w:ilvl w:val="2"/>
          <w:numId w:val="1"/>
        </w:numPr>
        <w:ind w:left="1200" w:hanging="240"/>
        <w:jc w:val="both"/>
        <w:rPr>
          <w:b/>
          <w:sz w:val="20"/>
          <w:szCs w:val="20"/>
        </w:rPr>
      </w:pPr>
      <w:r w:rsidRPr="00F30F96">
        <w:rPr>
          <w:b/>
          <w:sz w:val="20"/>
          <w:szCs w:val="20"/>
        </w:rPr>
        <w:t>Cel szczegółowy 2.3. Organizacja i wspieranie inicjatyw artystycznych i sportowych o zasięgu regionalnym, krajowym i międzynarodowym</w:t>
      </w:r>
    </w:p>
    <w:p w:rsidR="00A96D6D" w:rsidRPr="00F30F96" w:rsidRDefault="00A96D6D" w:rsidP="00F30F96">
      <w:pPr>
        <w:ind w:left="960"/>
        <w:jc w:val="both"/>
        <w:rPr>
          <w:sz w:val="18"/>
          <w:szCs w:val="20"/>
        </w:rPr>
      </w:pPr>
      <w:r w:rsidRPr="00F30F96">
        <w:rPr>
          <w:sz w:val="18"/>
          <w:szCs w:val="20"/>
        </w:rPr>
        <w:t xml:space="preserve">Funkcje centralne Siedlec, a więc działalności świadczone dla znacznie szerszej społeczności niż mieszkańcy miasta, opierają się również na przedsięwzięciach artystycznych i sportowych. Cel ten zakłada dalszą organizację publicznych i wspieranie wszelkich innych inicjatyw budujących markę Siedlec jako ośrodka kulturalnego i sportowego. Jest to cel nawiązujący przede wszystkim do silnych stron miasta (wysokiej jakości obiekty oraz bogata oferta kulturalna i sportowa stwarzająca dobre warunki do spędzania czasu wolnego oraz działalność organizacji pozarządowych) oraz pojawiających się szans (brak konkurencyjnego ośrodka </w:t>
      </w:r>
      <w:proofErr w:type="spellStart"/>
      <w:r w:rsidRPr="00F30F96">
        <w:rPr>
          <w:sz w:val="18"/>
          <w:szCs w:val="20"/>
        </w:rPr>
        <w:t>subregionalnego</w:t>
      </w:r>
      <w:proofErr w:type="spellEnd"/>
      <w:r w:rsidRPr="00F30F96">
        <w:rPr>
          <w:sz w:val="18"/>
          <w:szCs w:val="20"/>
        </w:rPr>
        <w:t xml:space="preserve"> w pobliży Siedlec). W ramach tego celu należy skoncentrować się na promocji organizowanych i wspieranych przedsięwzięć, rozbudowie i modernizacji istniejącej bazy sportowej i kulturalnej oraz aktywizacji mieszkańców w tym zakresie (także organizacji pozarządowych) oraz wsparcia wszelkich form aktywności kulturalnej i sportowej.</w:t>
      </w:r>
    </w:p>
    <w:tbl>
      <w:tblPr>
        <w:tblStyle w:val="Tabela-Siatka"/>
        <w:tblW w:w="0" w:type="auto"/>
        <w:tblInd w:w="108" w:type="dxa"/>
        <w:tblLook w:val="04A0"/>
      </w:tblPr>
      <w:tblGrid>
        <w:gridCol w:w="360"/>
        <w:gridCol w:w="8263"/>
        <w:gridCol w:w="376"/>
      </w:tblGrid>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1</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Zdecydowanie zgadzam się, że taki cel powinien być realizowany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2</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zgadzam się, że taki cel powinien być realizowany, ale nie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3</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nie zgadzam się, że taki cel powinien być realizowany w perspektywie do 2025 r.</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lastRenderedPageBreak/>
              <w:t>4</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zgadzam się, aby taki cel był w ogóle realizowany</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5</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mam zdania</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bl>
    <w:p w:rsidR="00A96D6D" w:rsidRDefault="00A96D6D" w:rsidP="00A96D6D">
      <w:pPr>
        <w:rPr>
          <w:rFonts w:ascii="Arial" w:hAnsi="Arial" w:cs="Arial"/>
          <w:bCs/>
          <w:szCs w:val="24"/>
        </w:rPr>
      </w:pPr>
    </w:p>
    <w:p w:rsidR="00A96D6D" w:rsidRPr="00F30F96" w:rsidRDefault="00A96D6D" w:rsidP="00F30F96">
      <w:pPr>
        <w:pStyle w:val="Akapitzlist"/>
        <w:numPr>
          <w:ilvl w:val="2"/>
          <w:numId w:val="1"/>
        </w:numPr>
        <w:ind w:left="1200" w:hanging="240"/>
        <w:jc w:val="both"/>
        <w:rPr>
          <w:b/>
          <w:sz w:val="20"/>
          <w:szCs w:val="20"/>
        </w:rPr>
      </w:pPr>
      <w:r w:rsidRPr="00F30F96">
        <w:rPr>
          <w:b/>
          <w:sz w:val="20"/>
          <w:szCs w:val="20"/>
        </w:rPr>
        <w:t>Cel szczegółowy 2.4. Podniesienie poziomu kształcenia na wszystkich poziomach szkół</w:t>
      </w:r>
    </w:p>
    <w:p w:rsidR="00A96D6D" w:rsidRPr="00F30F96" w:rsidRDefault="00A96D6D" w:rsidP="00F30F96">
      <w:pPr>
        <w:ind w:left="960"/>
        <w:jc w:val="both"/>
        <w:rPr>
          <w:sz w:val="18"/>
          <w:szCs w:val="20"/>
        </w:rPr>
      </w:pPr>
      <w:r w:rsidRPr="00F30F96">
        <w:rPr>
          <w:sz w:val="18"/>
          <w:szCs w:val="20"/>
        </w:rPr>
        <w:t>Edukacja i kształcenie w Siedlcach to funkcje świadczone nie tylko na rzecz mieszkańców. Przynajmniej od poziomu szkół ponadgimnazjalnych, do miasta uczęszczają mieszkańcy pobliskich gmin i powiatów. W przypadku uczelni wyższych zasięg ten jest jeszcze większy. W ramach tego celu należy dążyć do podniesienia poziomu kształcenia na wszystkich poziomach: podstawowym, gimnazjalnym, ponadgimnazjalnym i wyższym. W jednostkach zależnych od miasta – należy skoncentrować się na bardziej aktywnej polityce wsparcia. W szkołach i uczelniach bez udziału miasta, wsparcie to musi być poprzedzone budowaniem koalicji i współpracy. Kluczowe do podjęcia działania to przede wszystkim programy zachęcające dla najlepszych uczniów i studentów. Warto również rozważyć wprowadzenie pewnych rozwiązań lojalnościowych (zwrotnych) do warunków stypendialnych, np. w formie odpracowania jakiejś niewielkiej części stypendium dla jednostek na terenie miasta. Może to nieco ograniczyć postępujący proces wymywania kapitału ludzkiego przez największe miasta (głównie Warszawę). Dla rozwoju kształcenia i edukacji kluczowe będą również programy szkoleniowe i doskonalące kompetencje skierowane do nauczycieli oraz upraktycznienie zajęć lekcyjnych i pozalekcyjnych, np. poprzez intensyfikację współpracy z lokalnymi przedsiębiorstwami (co idzie w parze z celami związanymi z gospodarką).</w:t>
      </w:r>
    </w:p>
    <w:tbl>
      <w:tblPr>
        <w:tblStyle w:val="Tabela-Siatka"/>
        <w:tblW w:w="0" w:type="auto"/>
        <w:tblInd w:w="108" w:type="dxa"/>
        <w:tblLook w:val="04A0"/>
      </w:tblPr>
      <w:tblGrid>
        <w:gridCol w:w="360"/>
        <w:gridCol w:w="8263"/>
        <w:gridCol w:w="376"/>
      </w:tblGrid>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1</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Zdecydowanie zgadzam się, że taki cel powinien być realizowany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2</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zgadzam się, że taki cel powinien być realizowany, ale nie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3</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nie zgadzam się, że taki cel powinien być realizowany w perspektywie do 2025 r.</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4</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zgadzam się, aby taki cel był w ogóle realizowany</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5</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mam zdania</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bl>
    <w:p w:rsidR="00A96D6D" w:rsidRDefault="00A96D6D" w:rsidP="00A96D6D">
      <w:pPr>
        <w:rPr>
          <w:rFonts w:ascii="Arial" w:hAnsi="Arial" w:cs="Arial"/>
          <w:bCs/>
          <w:szCs w:val="24"/>
        </w:rPr>
      </w:pPr>
    </w:p>
    <w:p w:rsidR="00A96D6D" w:rsidRPr="00F30F96" w:rsidRDefault="00A96D6D" w:rsidP="00F30F96">
      <w:pPr>
        <w:pStyle w:val="Akapitzlist"/>
        <w:numPr>
          <w:ilvl w:val="2"/>
          <w:numId w:val="1"/>
        </w:numPr>
        <w:ind w:left="1200" w:hanging="240"/>
        <w:jc w:val="both"/>
        <w:rPr>
          <w:b/>
          <w:sz w:val="20"/>
          <w:szCs w:val="20"/>
        </w:rPr>
      </w:pPr>
      <w:r w:rsidRPr="00F30F96">
        <w:rPr>
          <w:b/>
          <w:sz w:val="20"/>
          <w:szCs w:val="20"/>
        </w:rPr>
        <w:t>Cel szczegółowy 2.5. Wspieranie kształcenia ustawicznego i praktycznego</w:t>
      </w:r>
    </w:p>
    <w:p w:rsidR="00A96D6D" w:rsidRPr="00F30F96" w:rsidRDefault="00A96D6D" w:rsidP="00F30F96">
      <w:pPr>
        <w:ind w:left="960"/>
        <w:jc w:val="both"/>
        <w:rPr>
          <w:sz w:val="18"/>
          <w:szCs w:val="20"/>
        </w:rPr>
      </w:pPr>
      <w:r w:rsidRPr="00F30F96">
        <w:rPr>
          <w:sz w:val="18"/>
          <w:szCs w:val="20"/>
        </w:rPr>
        <w:t xml:space="preserve">Oprócz podnoszenia poziomu kształcenia na wszystkich poziomach edukacji, w realizacji celu utrzymania </w:t>
      </w:r>
      <w:proofErr w:type="spellStart"/>
      <w:r w:rsidRPr="00F30F96">
        <w:rPr>
          <w:sz w:val="18"/>
          <w:szCs w:val="20"/>
        </w:rPr>
        <w:t>subregionalnej</w:t>
      </w:r>
      <w:proofErr w:type="spellEnd"/>
      <w:r w:rsidRPr="00F30F96">
        <w:rPr>
          <w:sz w:val="18"/>
          <w:szCs w:val="20"/>
        </w:rPr>
        <w:t xml:space="preserve"> roli Siedlec, należy wspierać kształcenie ustawiczne i praktyczne. Wynika to ze zdiagnozowanych słabych stron (zmiany w strukturze wieku, starzenie się społeczeństwa) oraz ciągle zmieniających się uwarunkowań na rynku pracy. Kształcenie ustawiczne i praktyczne powinno mieć duże przełożenie na lokalny rynek pracy, a podejmowane działania zmierzać do realizacji tego celu. Wśród nich są wszelkie formy e-kształcenia i e-edukacji, szkolenia i warsztaty. Warto również prowadzić działania promujące i uświadamiające mieszkańcom konieczność uczenia się przez całe życie.</w:t>
      </w:r>
    </w:p>
    <w:tbl>
      <w:tblPr>
        <w:tblStyle w:val="Tabela-Siatka"/>
        <w:tblW w:w="0" w:type="auto"/>
        <w:tblInd w:w="108" w:type="dxa"/>
        <w:tblLook w:val="04A0"/>
      </w:tblPr>
      <w:tblGrid>
        <w:gridCol w:w="360"/>
        <w:gridCol w:w="8263"/>
        <w:gridCol w:w="376"/>
      </w:tblGrid>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1</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Zdecydowanie zgadzam się, że taki cel powinien być realizowany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2</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zgadzam się, że taki cel powinien być realizowany, ale nie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3</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nie zgadzam się, że taki cel powinien być realizowany w perspektywie do 2025 r.</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4</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zgadzam się, aby taki cel był w ogóle realizowany</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5</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mam zdania</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bl>
    <w:p w:rsidR="00A96D6D" w:rsidRDefault="00A96D6D" w:rsidP="00A96D6D">
      <w:pPr>
        <w:rPr>
          <w:rFonts w:ascii="Arial" w:hAnsi="Arial" w:cs="Arial"/>
          <w:bCs/>
          <w:szCs w:val="24"/>
        </w:rPr>
      </w:pPr>
    </w:p>
    <w:p w:rsidR="00A96D6D" w:rsidRPr="00F30F96" w:rsidRDefault="00A96D6D" w:rsidP="00F30F96">
      <w:pPr>
        <w:pStyle w:val="Akapitzlist"/>
        <w:numPr>
          <w:ilvl w:val="2"/>
          <w:numId w:val="1"/>
        </w:numPr>
        <w:ind w:left="1200" w:hanging="240"/>
        <w:jc w:val="both"/>
        <w:rPr>
          <w:b/>
          <w:sz w:val="20"/>
          <w:szCs w:val="20"/>
        </w:rPr>
      </w:pPr>
      <w:r w:rsidRPr="00F30F96">
        <w:rPr>
          <w:b/>
          <w:sz w:val="20"/>
          <w:szCs w:val="20"/>
        </w:rPr>
        <w:t>Cel szczegółowy 2.6. Modernizacja i poprawa stanu wyposażenia infrastruktury edukacyjnej</w:t>
      </w:r>
    </w:p>
    <w:p w:rsidR="00A96D6D" w:rsidRPr="00F30F96" w:rsidRDefault="00A96D6D" w:rsidP="00F30F96">
      <w:pPr>
        <w:ind w:left="960"/>
        <w:jc w:val="both"/>
        <w:rPr>
          <w:sz w:val="18"/>
          <w:szCs w:val="20"/>
        </w:rPr>
      </w:pPr>
      <w:r w:rsidRPr="00F30F96">
        <w:rPr>
          <w:sz w:val="18"/>
          <w:szCs w:val="20"/>
        </w:rPr>
        <w:t>Podniesienie poziomu kształcenia i wspieranie kształcenia ustawicznego i praktycznego nie będzie możliwe bez dobrego stanu infrastruktury służącej edukacji. Chodzi tu zarówno o budynki, jak i wszelkie inne urządzenia, obiekty i elementy służące procesowi edukacji. Wśród nich należy wymienić obiekty szkolne, sale gimnastyczne, infrastrukturę towarzyszącą oraz urządzenia, pomoce i sprzęt tradycyjny, multimedialny i elektroniczny. Ponadto, w ramach zmniejszania poziomu wykluczenia, należy dążyć do dostosowania obiektów szkolnych dla osób niepełnosprawnych.</w:t>
      </w:r>
    </w:p>
    <w:tbl>
      <w:tblPr>
        <w:tblStyle w:val="Tabela-Siatka"/>
        <w:tblW w:w="0" w:type="auto"/>
        <w:tblInd w:w="108" w:type="dxa"/>
        <w:tblLook w:val="04A0"/>
      </w:tblPr>
      <w:tblGrid>
        <w:gridCol w:w="360"/>
        <w:gridCol w:w="8263"/>
        <w:gridCol w:w="376"/>
      </w:tblGrid>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lastRenderedPageBreak/>
              <w:t>1</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Zdecydowanie zgadzam się, że taki cel powinien być realizowany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2</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zgadzam się, że taki cel powinien być realizowany, ale nie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3</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nie zgadzam się, że taki cel powinien być realizowany w perspektywie do 2025 r.</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4</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zgadzam się, aby taki cel był w ogóle realizowany</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5</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mam zdania</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bl>
    <w:p w:rsidR="00A96D6D" w:rsidRDefault="00A96D6D" w:rsidP="00A96D6D">
      <w:pPr>
        <w:rPr>
          <w:sz w:val="20"/>
          <w:szCs w:val="20"/>
        </w:rPr>
      </w:pPr>
    </w:p>
    <w:p w:rsidR="00A96D6D" w:rsidRPr="00F30F96" w:rsidRDefault="00A96D6D" w:rsidP="00F30F96">
      <w:pPr>
        <w:pStyle w:val="Akapitzlist"/>
        <w:numPr>
          <w:ilvl w:val="1"/>
          <w:numId w:val="1"/>
        </w:numPr>
        <w:ind w:left="840"/>
        <w:jc w:val="both"/>
        <w:rPr>
          <w:b/>
          <w:sz w:val="20"/>
          <w:szCs w:val="20"/>
        </w:rPr>
      </w:pPr>
      <w:bookmarkStart w:id="2" w:name="_Toc428877564"/>
      <w:r w:rsidRPr="00F30F96">
        <w:rPr>
          <w:b/>
          <w:sz w:val="20"/>
          <w:szCs w:val="20"/>
        </w:rPr>
        <w:t>Cel strategiczny 3: Rozwój infrastruktury technicznej i ograniczenie negatywnego oddziaływania na środowisko</w:t>
      </w:r>
      <w:bookmarkEnd w:id="2"/>
    </w:p>
    <w:p w:rsidR="00A96D6D" w:rsidRPr="00F30F96" w:rsidRDefault="00A96D6D" w:rsidP="00F30F96">
      <w:pPr>
        <w:pStyle w:val="Akapitzlist"/>
        <w:numPr>
          <w:ilvl w:val="2"/>
          <w:numId w:val="1"/>
        </w:numPr>
        <w:ind w:left="1200" w:hanging="240"/>
        <w:jc w:val="both"/>
        <w:rPr>
          <w:b/>
          <w:sz w:val="20"/>
          <w:szCs w:val="20"/>
        </w:rPr>
      </w:pPr>
      <w:r w:rsidRPr="00F30F96">
        <w:rPr>
          <w:b/>
          <w:sz w:val="20"/>
          <w:szCs w:val="20"/>
        </w:rPr>
        <w:t>Cel szczegółowy 3.1. Budowa i modernizacja połączeń drogowych z siecią TEN-T</w:t>
      </w:r>
    </w:p>
    <w:p w:rsidR="00A96D6D" w:rsidRPr="00F30F96" w:rsidRDefault="00A96D6D" w:rsidP="00F30F96">
      <w:pPr>
        <w:ind w:left="960"/>
        <w:jc w:val="both"/>
        <w:rPr>
          <w:sz w:val="18"/>
          <w:szCs w:val="20"/>
        </w:rPr>
      </w:pPr>
      <w:r w:rsidRPr="00F30F96">
        <w:rPr>
          <w:sz w:val="18"/>
          <w:szCs w:val="20"/>
        </w:rPr>
        <w:t>Transeuropejska sieć transportowa to strategiczne odcinki i węzły dróg samochodowych i kolejowych w Europie. Przez Siedlce lub w pobliżu miasta przebiegają istniejące lub potencjalne odcinki, tj. linii kolejowej nr 2 oraz przyszłej autostrady A2 (z Warszawy do wschodniej granicy kraju). Budowa i modernizacja połączeń drogowych z siecią TEN-T przyczyni się do wykorzystania istniejącego w mieście potencjału, przede wszystkim atrakcyjnych terenów inwestycyjnych. Wybudowanie autostrady (traktowane jako kluczowa szansa dla miasta) sprawi, że tereny te będą jeszcze bardziej atrakcyjne. Przykładowymi zadaniami do realizacji tego celu będą budowy nowych odcinków podłączonych do węzłów sieci TEN-T w tym obwodnic miasta (zewnętrznej i wewnętrznej, tzw. śródmiejskiej) oraz wsparcie i lobbowanie za szybką realizacją inwestycji krajowych w infrastrukturę transportową (przede wszystkim budowę autostrady A2).</w:t>
      </w:r>
    </w:p>
    <w:tbl>
      <w:tblPr>
        <w:tblStyle w:val="Tabela-Siatka"/>
        <w:tblW w:w="0" w:type="auto"/>
        <w:tblInd w:w="108" w:type="dxa"/>
        <w:tblLook w:val="04A0"/>
      </w:tblPr>
      <w:tblGrid>
        <w:gridCol w:w="360"/>
        <w:gridCol w:w="8263"/>
        <w:gridCol w:w="376"/>
      </w:tblGrid>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1</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Zdecydowanie zgadzam się, że taki cel powinien być realizowany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2</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zgadzam się, że taki cel powinien być realizowany, ale nie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3</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nie zgadzam się, że taki cel powinien być realizowany w perspektywie do 2025 r.</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4</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zgadzam się, aby taki cel był w ogóle realizowany</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5</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mam zdania</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bl>
    <w:p w:rsidR="00A96D6D" w:rsidRDefault="00A96D6D" w:rsidP="00A96D6D">
      <w:pPr>
        <w:rPr>
          <w:rFonts w:ascii="Arial" w:hAnsi="Arial" w:cs="Arial"/>
          <w:bCs/>
          <w:szCs w:val="24"/>
        </w:rPr>
      </w:pPr>
    </w:p>
    <w:p w:rsidR="00A96D6D" w:rsidRPr="00F30F96" w:rsidRDefault="00A96D6D" w:rsidP="00F30F96">
      <w:pPr>
        <w:pStyle w:val="Akapitzlist"/>
        <w:numPr>
          <w:ilvl w:val="2"/>
          <w:numId w:val="1"/>
        </w:numPr>
        <w:ind w:left="1200" w:hanging="240"/>
        <w:jc w:val="both"/>
        <w:rPr>
          <w:b/>
          <w:sz w:val="20"/>
          <w:szCs w:val="20"/>
        </w:rPr>
      </w:pPr>
      <w:r w:rsidRPr="00F30F96">
        <w:rPr>
          <w:b/>
          <w:sz w:val="20"/>
          <w:szCs w:val="20"/>
        </w:rPr>
        <w:t xml:space="preserve">Cel szczegółowy 3.2. Rozbudowa i modernizacja systemu dróg lokalnych i </w:t>
      </w:r>
      <w:proofErr w:type="spellStart"/>
      <w:r w:rsidRPr="00F30F96">
        <w:rPr>
          <w:b/>
          <w:sz w:val="20"/>
          <w:szCs w:val="20"/>
        </w:rPr>
        <w:t>subregionalnych</w:t>
      </w:r>
      <w:proofErr w:type="spellEnd"/>
    </w:p>
    <w:p w:rsidR="00A96D6D" w:rsidRPr="00F30F96" w:rsidRDefault="00A96D6D" w:rsidP="00F30F96">
      <w:pPr>
        <w:ind w:left="960"/>
        <w:jc w:val="both"/>
        <w:rPr>
          <w:sz w:val="18"/>
          <w:szCs w:val="20"/>
        </w:rPr>
      </w:pPr>
      <w:r w:rsidRPr="00F30F96">
        <w:rPr>
          <w:sz w:val="18"/>
          <w:szCs w:val="20"/>
        </w:rPr>
        <w:t xml:space="preserve">System dróg lokalnych i </w:t>
      </w:r>
      <w:proofErr w:type="spellStart"/>
      <w:r w:rsidRPr="00F30F96">
        <w:rPr>
          <w:sz w:val="18"/>
          <w:szCs w:val="20"/>
        </w:rPr>
        <w:t>subregionalnych</w:t>
      </w:r>
      <w:proofErr w:type="spellEnd"/>
      <w:r w:rsidRPr="00F30F96">
        <w:rPr>
          <w:sz w:val="18"/>
          <w:szCs w:val="20"/>
        </w:rPr>
        <w:t xml:space="preserve"> ma znaczenie przede wszystkim dla mieszkańców miasta i strefy podmiejskiej. Jego znaczenie dla lokalnej gospodarki jest mniejsze niż dróg krajowych lub sieci TEN-T. Trzeba jednak, obok koncentracji wsparcia na infrastrukturze służącej gospodarce, dążyć do poprawy stanu systemu dróg lokalnych i </w:t>
      </w:r>
      <w:proofErr w:type="spellStart"/>
      <w:r w:rsidRPr="00F30F96">
        <w:rPr>
          <w:sz w:val="18"/>
          <w:szCs w:val="20"/>
        </w:rPr>
        <w:t>subregionalnych</w:t>
      </w:r>
      <w:proofErr w:type="spellEnd"/>
      <w:r w:rsidRPr="00F30F96">
        <w:rPr>
          <w:sz w:val="18"/>
          <w:szCs w:val="20"/>
        </w:rPr>
        <w:t>. Z kilku powodów. Po pierwsze w diagnozie zidentyfikowano rosnący poziom motoryzacji w mieście i strefie podmiejskiej, a tym samym większe obciążenie istniejącej infrastruktury – co w konsekwencji wpływa na jej szybsze zużycie. Po drugie, rozwijające się budownictwo mieszkaniowe (zdiagnozowane jako silna strona miasta) będzie generować potrzebę stopniowej rozbudowy systemu drogowego. Po trzecie, w kontekście wzrastającego wskaźnika motoryzacji, ważne wydaje się aktywne wspieranie innych, bardziej ekstensywnych form transportu (np. rowerowego). Stąd działania zmierzające do realizacji tego celu będą odpowiedzią na te wyzwania. Dotyczyć one będą budowy dróg doprowadzających ruch do obszarów zabudowy mieszkaniowej, zwiększenia liczby miejsc parkingowych oraz stworzenia spójnego systemu ścieżek rowerowych.</w:t>
      </w:r>
    </w:p>
    <w:tbl>
      <w:tblPr>
        <w:tblStyle w:val="Tabela-Siatka"/>
        <w:tblW w:w="0" w:type="auto"/>
        <w:tblInd w:w="108" w:type="dxa"/>
        <w:tblLook w:val="04A0"/>
      </w:tblPr>
      <w:tblGrid>
        <w:gridCol w:w="360"/>
        <w:gridCol w:w="8263"/>
        <w:gridCol w:w="376"/>
      </w:tblGrid>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1</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Zdecydowanie zgadzam się, że taki cel powinien być realizowany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2</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zgadzam się, że taki cel powinien być realizowany, ale nie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3</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nie zgadzam się, że taki cel powinien być realizowany w perspektywie do 2025 r.</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4</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zgadzam się, aby taki cel był w ogóle realizowany</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5</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mam zdania</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bl>
    <w:p w:rsidR="00A96D6D" w:rsidRDefault="00A96D6D" w:rsidP="00A96D6D">
      <w:pPr>
        <w:rPr>
          <w:rFonts w:ascii="Arial" w:hAnsi="Arial" w:cs="Arial"/>
          <w:bCs/>
          <w:szCs w:val="24"/>
        </w:rPr>
      </w:pPr>
    </w:p>
    <w:p w:rsidR="00A96D6D" w:rsidRPr="00F30F96" w:rsidRDefault="00A96D6D" w:rsidP="00F30F96">
      <w:pPr>
        <w:pStyle w:val="Akapitzlist"/>
        <w:numPr>
          <w:ilvl w:val="2"/>
          <w:numId w:val="1"/>
        </w:numPr>
        <w:ind w:left="1200" w:hanging="240"/>
        <w:jc w:val="both"/>
        <w:rPr>
          <w:b/>
          <w:sz w:val="20"/>
          <w:szCs w:val="20"/>
        </w:rPr>
      </w:pPr>
      <w:r w:rsidRPr="00F30F96">
        <w:rPr>
          <w:b/>
          <w:sz w:val="20"/>
          <w:szCs w:val="20"/>
        </w:rPr>
        <w:t>Cel szczegółowy 3.3. Rozwój i integracja różnych form transportu publicznego</w:t>
      </w:r>
    </w:p>
    <w:p w:rsidR="00A96D6D" w:rsidRPr="00F30F96" w:rsidRDefault="00A96D6D" w:rsidP="00F30F96">
      <w:pPr>
        <w:ind w:left="960"/>
        <w:jc w:val="both"/>
        <w:rPr>
          <w:sz w:val="18"/>
          <w:szCs w:val="20"/>
        </w:rPr>
      </w:pPr>
      <w:r w:rsidRPr="00F30F96">
        <w:rPr>
          <w:sz w:val="18"/>
          <w:szCs w:val="20"/>
        </w:rPr>
        <w:lastRenderedPageBreak/>
        <w:t>Przyspieszony rozwój motoryzacji i korzystania z transportu indywidualnego (zidentyfikowane w toku diagnozy) powoduje, że trzeba szukać i rozwijać różne formy transportu publicznego. Transport publiczny jest, punktu widzenia kosztochłonności i poziomu oddziaływania na środowisko, dużo bardziej korzystny od transportu indywidualnego. Ale będzie bardziej popularny tylko wówczas, gdy stanie się konkurencyjny wobec innych sposobów przemieszczania się. Dlatego w ramach tego celu, w najbliższej perspektywie będą podejmowane działania związane z budową multimodalnego centrum przesiadkowego (integrującego różne formy transportu, ułatwiając tym samym i skracając czas przesiadek), modernizacją budynków dworcowych, przystanków i taboru autobusowego. Ważne będą również działania „miękkie” polegające na rozwoju systemu informacji o transporcie publicznym i promocji korzystania z niego przez mieszkańców.</w:t>
      </w:r>
    </w:p>
    <w:tbl>
      <w:tblPr>
        <w:tblStyle w:val="Tabela-Siatka"/>
        <w:tblW w:w="0" w:type="auto"/>
        <w:tblInd w:w="108" w:type="dxa"/>
        <w:tblLook w:val="04A0"/>
      </w:tblPr>
      <w:tblGrid>
        <w:gridCol w:w="360"/>
        <w:gridCol w:w="8263"/>
        <w:gridCol w:w="376"/>
      </w:tblGrid>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1</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Zdecydowanie zgadzam się, że taki cel powinien być realizowany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2</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zgadzam się, że taki cel powinien być realizowany, ale nie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3</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nie zgadzam się, że taki cel powinien być realizowany w perspektywie do 2025 r.</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4</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zgadzam się, aby taki cel był w ogóle realizowany</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5</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mam zdania</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bl>
    <w:p w:rsidR="00A96D6D" w:rsidRDefault="00A96D6D" w:rsidP="00A96D6D">
      <w:pPr>
        <w:rPr>
          <w:rFonts w:ascii="Arial" w:hAnsi="Arial" w:cs="Arial"/>
          <w:bCs/>
          <w:szCs w:val="24"/>
        </w:rPr>
      </w:pPr>
    </w:p>
    <w:p w:rsidR="00A96D6D" w:rsidRPr="00F30F96" w:rsidRDefault="00A96D6D" w:rsidP="00F30F96">
      <w:pPr>
        <w:pStyle w:val="Akapitzlist"/>
        <w:numPr>
          <w:ilvl w:val="2"/>
          <w:numId w:val="1"/>
        </w:numPr>
        <w:ind w:left="1200" w:hanging="240"/>
        <w:jc w:val="both"/>
        <w:rPr>
          <w:b/>
          <w:sz w:val="20"/>
          <w:szCs w:val="20"/>
        </w:rPr>
      </w:pPr>
      <w:r w:rsidRPr="00F30F96">
        <w:rPr>
          <w:b/>
          <w:sz w:val="20"/>
          <w:szCs w:val="20"/>
        </w:rPr>
        <w:t>Cel szczegółowy 3.4. Ochrona i racjonalne gospodarowanie zasobami przyrodniczymi w mieście</w:t>
      </w:r>
    </w:p>
    <w:p w:rsidR="00A96D6D" w:rsidRPr="00F30F96" w:rsidRDefault="00A96D6D" w:rsidP="00F30F96">
      <w:pPr>
        <w:ind w:left="960"/>
        <w:jc w:val="both"/>
        <w:rPr>
          <w:sz w:val="18"/>
          <w:szCs w:val="20"/>
        </w:rPr>
      </w:pPr>
      <w:r w:rsidRPr="00F30F96">
        <w:rPr>
          <w:sz w:val="18"/>
          <w:szCs w:val="20"/>
        </w:rPr>
        <w:t xml:space="preserve">Jedną z kluczowych mocnych stron miasta jest potencjał terenów przyrodniczych (relatywnie dużo terenów zieleni, stanowiących walory rekreacyjne, stwarzających możliwości aktywnego spędzania wolnego czasu i podnoszących tym samym jakość życia). Wpływa on na wysoką atrakcyjność osiedleńczą miasta, co w kontekście zidentyfikowanych szans (korzystnego położenia) oraz innych mocnych stron (dobra jakość i wysoka dostępność różnych usług społecznych i form spędzania wolnego czasu) zachęca do wykorzystania potencjału terenów przyrodniczych w przyciąganiu do miasta </w:t>
      </w:r>
      <w:r w:rsidR="004E6CA6" w:rsidRPr="00F30F96">
        <w:rPr>
          <w:sz w:val="18"/>
          <w:szCs w:val="20"/>
        </w:rPr>
        <w:t xml:space="preserve">nowych </w:t>
      </w:r>
      <w:r w:rsidRPr="00F30F96">
        <w:rPr>
          <w:sz w:val="18"/>
          <w:szCs w:val="20"/>
        </w:rPr>
        <w:t xml:space="preserve">mieszkańców. Wiąże się to jednak z prowadzeniem także polityki ochrony i racjonalnego gospodarowania terenami przyrodniczymi. W najbliższej przyszłości należy skupić się na rewitalizacji terenów zielonych (np. Park Aleksandria), które tej naprawy wymagają oraz rozwijaniu różnych form aktywnego spędzania wolnego czasu związanych z rekreacją, ale również z turystyką. Doskonałymi terenami do tego rodzaju przedsięwzięć są choćby tereny parkowe, błonia siedleckie lub obszar w pobliżu Zalewu nad </w:t>
      </w:r>
      <w:proofErr w:type="spellStart"/>
      <w:r w:rsidRPr="00F30F96">
        <w:rPr>
          <w:sz w:val="18"/>
          <w:szCs w:val="20"/>
        </w:rPr>
        <w:t>Muchawką</w:t>
      </w:r>
      <w:proofErr w:type="spellEnd"/>
      <w:r w:rsidRPr="00F30F96">
        <w:rPr>
          <w:sz w:val="18"/>
          <w:szCs w:val="20"/>
        </w:rPr>
        <w:t>.</w:t>
      </w:r>
    </w:p>
    <w:tbl>
      <w:tblPr>
        <w:tblStyle w:val="Tabela-Siatka"/>
        <w:tblW w:w="0" w:type="auto"/>
        <w:tblInd w:w="108" w:type="dxa"/>
        <w:tblLook w:val="04A0"/>
      </w:tblPr>
      <w:tblGrid>
        <w:gridCol w:w="360"/>
        <w:gridCol w:w="8263"/>
        <w:gridCol w:w="376"/>
      </w:tblGrid>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1</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Zdecydowanie zgadzam się, że taki cel powinien być realizowany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2</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zgadzam się, że taki cel powinien być realizowany, ale nie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3</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nie zgadzam się, że taki cel powinien być realizowany w perspektywie do 2025 r.</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4</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zgadzam się, aby taki cel był w ogóle realizowany</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5</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mam zdania</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bl>
    <w:p w:rsidR="00A96D6D" w:rsidRDefault="00A96D6D" w:rsidP="00A96D6D">
      <w:pPr>
        <w:rPr>
          <w:rFonts w:ascii="Arial" w:hAnsi="Arial" w:cs="Arial"/>
          <w:bCs/>
          <w:szCs w:val="24"/>
        </w:rPr>
      </w:pPr>
    </w:p>
    <w:p w:rsidR="00A96D6D" w:rsidRPr="00F30F96" w:rsidRDefault="00A96D6D" w:rsidP="00F30F96">
      <w:pPr>
        <w:pStyle w:val="Akapitzlist"/>
        <w:numPr>
          <w:ilvl w:val="2"/>
          <w:numId w:val="1"/>
        </w:numPr>
        <w:ind w:left="1200" w:hanging="240"/>
        <w:jc w:val="both"/>
        <w:rPr>
          <w:b/>
          <w:sz w:val="20"/>
          <w:szCs w:val="20"/>
        </w:rPr>
      </w:pPr>
      <w:r w:rsidRPr="00F30F96">
        <w:rPr>
          <w:b/>
          <w:sz w:val="20"/>
          <w:szCs w:val="20"/>
        </w:rPr>
        <w:t>Cel szczegółowy 3.5. Rozbudowa i modernizacja infrastruktury wodno-kanalizacyjnej oraz ciepłowniczej</w:t>
      </w:r>
    </w:p>
    <w:p w:rsidR="00A96D6D" w:rsidRPr="00F30F96" w:rsidRDefault="00A96D6D" w:rsidP="00F30F96">
      <w:pPr>
        <w:ind w:left="960"/>
        <w:jc w:val="both"/>
        <w:rPr>
          <w:sz w:val="18"/>
          <w:szCs w:val="20"/>
        </w:rPr>
      </w:pPr>
      <w:r w:rsidRPr="00F30F96">
        <w:rPr>
          <w:sz w:val="18"/>
          <w:szCs w:val="20"/>
        </w:rPr>
        <w:t>W przeprowadzonej, szczegółowej diagnozie stanu istniejącego zidentyfikowano bardzo dobrą sytuację miasta w zakresie dostępności do infrastruktury wodociągowej, kanalizacyjnej oraz ciepłowniczej. Dlatego podejmowane działania w kierunku modernizacji i rozbudowy tych systemów nie stanowią tak istotnego priorytetu. Niemniej jednak należy dążyć do rozbudowy i modernizacji tych systemów w miejscach, które są kluczowe z punktu widzenia rozwoju miasta. Są nimi tereny aktywizacji gospodarczej oraz obszary budownictwa mieszkaniowego. W tym kontekście należy dążyć do możliwie kompaktowego rozwoju miasta, tj. tak ukształtowanego w przestrzeni, by nie generował niepotrzebnych kosztów budowy infrastruktury sieciowej oddalonej od istniejącej zabudowy.</w:t>
      </w:r>
    </w:p>
    <w:tbl>
      <w:tblPr>
        <w:tblStyle w:val="Tabela-Siatka"/>
        <w:tblW w:w="0" w:type="auto"/>
        <w:tblInd w:w="108" w:type="dxa"/>
        <w:tblLook w:val="04A0"/>
      </w:tblPr>
      <w:tblGrid>
        <w:gridCol w:w="360"/>
        <w:gridCol w:w="8263"/>
        <w:gridCol w:w="376"/>
      </w:tblGrid>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1</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Zdecydowanie zgadzam się, że taki cel powinien być realizowany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2</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zgadzam się, że taki cel powinien być realizowany, ale nie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lastRenderedPageBreak/>
              <w:t>3</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nie zgadzam się, że taki cel powinien być realizowany w perspektywie do 2025 r.</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4</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zgadzam się, aby taki cel był w ogóle realizowany</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5</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mam zdania</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bl>
    <w:p w:rsidR="00A96D6D" w:rsidRDefault="00A96D6D" w:rsidP="00A96D6D">
      <w:pPr>
        <w:rPr>
          <w:rFonts w:ascii="Arial" w:hAnsi="Arial" w:cs="Arial"/>
          <w:bCs/>
          <w:szCs w:val="24"/>
        </w:rPr>
      </w:pPr>
    </w:p>
    <w:p w:rsidR="00A96D6D" w:rsidRPr="00F30F96" w:rsidRDefault="00A96D6D" w:rsidP="00F30F96">
      <w:pPr>
        <w:pStyle w:val="Akapitzlist"/>
        <w:numPr>
          <w:ilvl w:val="2"/>
          <w:numId w:val="1"/>
        </w:numPr>
        <w:ind w:left="1200" w:hanging="240"/>
        <w:jc w:val="both"/>
        <w:rPr>
          <w:b/>
          <w:sz w:val="20"/>
          <w:szCs w:val="20"/>
        </w:rPr>
      </w:pPr>
      <w:r w:rsidRPr="00F30F96">
        <w:rPr>
          <w:b/>
          <w:sz w:val="20"/>
          <w:szCs w:val="20"/>
        </w:rPr>
        <w:t>Cel szczegółowy 3.6. Racjonalny i stabilny system zbiórki, odbioru i zagospodarowania odpadów komunalnych</w:t>
      </w:r>
    </w:p>
    <w:p w:rsidR="00A96D6D" w:rsidRPr="00F30F96" w:rsidRDefault="00A96D6D" w:rsidP="00F30F96">
      <w:pPr>
        <w:ind w:left="960"/>
        <w:jc w:val="both"/>
        <w:rPr>
          <w:sz w:val="18"/>
          <w:szCs w:val="20"/>
        </w:rPr>
      </w:pPr>
      <w:r w:rsidRPr="00F30F96">
        <w:rPr>
          <w:sz w:val="18"/>
          <w:szCs w:val="20"/>
        </w:rPr>
        <w:t>W ostatnich latach samorządy lokalny muszą mierzyć się ze skutkami tzw. rewolucji śmieciowej. Zmiana uwarunkowań funkcjonowania systemu gospodarowania odpadami stworzyła nowe obowiązki, które spoczywają na polskich gminach. W tym kontekście realizowane działania są niejako konsekwencją zmiany uwarunkowań prawnych i muszą zostać podjęte bez względu na wybory strategiczne poszczególnych samorządów. Wśród tych działań są m.in. edukacja mieszkańców, promocja i zachęcania do segregowania odpadów, zwiększenie poziomów odzysku i recyklingu odpadów komunalnych lub zwiększenie innych sposób unieszkodliwiania odpadów komunalnych niż ich składowanie. W tym celu konieczne jest m.in. zacieśnienie współpracy międzygminnej z pozostałymi samorządami regionu gospodarki odpadami, w którym znajdują się Siedlce i rozwijanie wspólnie z nimi instalacji przetwarzania odpadów komunalnych.</w:t>
      </w:r>
    </w:p>
    <w:tbl>
      <w:tblPr>
        <w:tblStyle w:val="Tabela-Siatka"/>
        <w:tblW w:w="0" w:type="auto"/>
        <w:tblInd w:w="108" w:type="dxa"/>
        <w:tblLook w:val="04A0"/>
      </w:tblPr>
      <w:tblGrid>
        <w:gridCol w:w="360"/>
        <w:gridCol w:w="8263"/>
        <w:gridCol w:w="376"/>
      </w:tblGrid>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1</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Zdecydowanie zgadzam się, że taki cel powinien być realizowany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2</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zgadzam się, że taki cel powinien być realizowany, ale nie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3</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nie zgadzam się, że taki cel powinien być realizowany w perspektywie do 2025 r.</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4</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zgadzam się, aby taki cel był w ogóle realizowany</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5</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mam zdania</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bl>
    <w:p w:rsidR="00A96D6D" w:rsidRDefault="00A96D6D" w:rsidP="00A96D6D">
      <w:pPr>
        <w:rPr>
          <w:rFonts w:ascii="Arial" w:hAnsi="Arial" w:cs="Arial"/>
          <w:bCs/>
          <w:szCs w:val="24"/>
        </w:rPr>
      </w:pPr>
    </w:p>
    <w:p w:rsidR="00A96D6D" w:rsidRPr="00F30F96" w:rsidRDefault="00A96D6D" w:rsidP="00F30F96">
      <w:pPr>
        <w:pStyle w:val="Akapitzlist"/>
        <w:numPr>
          <w:ilvl w:val="2"/>
          <w:numId w:val="1"/>
        </w:numPr>
        <w:ind w:left="1200" w:hanging="240"/>
        <w:jc w:val="both"/>
        <w:rPr>
          <w:b/>
          <w:sz w:val="20"/>
          <w:szCs w:val="20"/>
        </w:rPr>
      </w:pPr>
      <w:r w:rsidRPr="00F30F96">
        <w:rPr>
          <w:b/>
          <w:sz w:val="20"/>
          <w:szCs w:val="20"/>
        </w:rPr>
        <w:t>Cel szczegółowy 3.7. Poprawa jakości powietrza</w:t>
      </w:r>
    </w:p>
    <w:p w:rsidR="00A96D6D" w:rsidRPr="00F30F96" w:rsidRDefault="00A96D6D" w:rsidP="00F30F96">
      <w:pPr>
        <w:ind w:left="960"/>
        <w:jc w:val="both"/>
        <w:rPr>
          <w:sz w:val="18"/>
          <w:szCs w:val="20"/>
        </w:rPr>
      </w:pPr>
      <w:r w:rsidRPr="00F30F96">
        <w:rPr>
          <w:sz w:val="18"/>
          <w:szCs w:val="20"/>
        </w:rPr>
        <w:t>Jednym z problemów zidentyfikowanych w mieście jest wzrastający poziom zanieczyszczeń komunikacyjnych dotykający szczególnie obszaru śródmiejskiego. Na poprawę jakości powietrza w mieście wpływ mają jednak przede wszystkim nadarzające się szanse, tj. znaczne zewnętrzne środki finansowe przeznaczane głównie ze źródeł unijnych przeznaczone na redukcję CO2 i zmniejszenie zanieczyszczeń środowiska przyrodniczego. Dlatego zostaną w najbliższej przyszłości podjęte działania związane z ograniczeniem zużycia energii cieplnej (termomodernizacje obiektów budowlanych), redukcją emisji CO2 i zmniejszeniem poziomu emisji zanieczyszczeń transportowych.</w:t>
      </w:r>
    </w:p>
    <w:tbl>
      <w:tblPr>
        <w:tblStyle w:val="Tabela-Siatka"/>
        <w:tblW w:w="0" w:type="auto"/>
        <w:tblInd w:w="108" w:type="dxa"/>
        <w:tblLook w:val="04A0"/>
      </w:tblPr>
      <w:tblGrid>
        <w:gridCol w:w="360"/>
        <w:gridCol w:w="8263"/>
        <w:gridCol w:w="376"/>
      </w:tblGrid>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1</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Zdecydowanie zgadzam się, że taki cel powinien być realizowany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2</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zgadzam się, że taki cel powinien być realizowany, ale nie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3</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nie zgadzam się, że taki cel powinien być realizowany w perspektywie do 2025 r.</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4</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zgadzam się, aby taki cel był w ogóle realizowany</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5</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mam zdania</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bl>
    <w:p w:rsidR="00A96D6D" w:rsidRDefault="00A96D6D" w:rsidP="00A96D6D">
      <w:pPr>
        <w:rPr>
          <w:sz w:val="20"/>
          <w:szCs w:val="20"/>
        </w:rPr>
      </w:pPr>
    </w:p>
    <w:p w:rsidR="00A96D6D" w:rsidRPr="00F30F96" w:rsidRDefault="00A96D6D" w:rsidP="00F30F96">
      <w:pPr>
        <w:pStyle w:val="Akapitzlist"/>
        <w:numPr>
          <w:ilvl w:val="1"/>
          <w:numId w:val="1"/>
        </w:numPr>
        <w:ind w:left="840"/>
        <w:jc w:val="both"/>
        <w:rPr>
          <w:b/>
          <w:sz w:val="20"/>
          <w:szCs w:val="20"/>
        </w:rPr>
      </w:pPr>
      <w:bookmarkStart w:id="3" w:name="_Toc428877565"/>
      <w:r w:rsidRPr="00F30F96">
        <w:rPr>
          <w:b/>
          <w:sz w:val="20"/>
          <w:szCs w:val="20"/>
        </w:rPr>
        <w:t>Cel strategiczny 4: Dobre warunki i jakość życia dla Siedlczan</w:t>
      </w:r>
      <w:bookmarkEnd w:id="3"/>
    </w:p>
    <w:p w:rsidR="00A96D6D" w:rsidRPr="00F30F96" w:rsidRDefault="00A96D6D" w:rsidP="00F30F96">
      <w:pPr>
        <w:pStyle w:val="Akapitzlist"/>
        <w:numPr>
          <w:ilvl w:val="2"/>
          <w:numId w:val="1"/>
        </w:numPr>
        <w:ind w:left="1200" w:hanging="240"/>
        <w:jc w:val="both"/>
        <w:rPr>
          <w:b/>
          <w:sz w:val="20"/>
          <w:szCs w:val="20"/>
        </w:rPr>
      </w:pPr>
      <w:r w:rsidRPr="00F30F96">
        <w:rPr>
          <w:b/>
          <w:sz w:val="20"/>
          <w:szCs w:val="20"/>
        </w:rPr>
        <w:t>Cel szczegółowy 4.1. Prowadzenie polityki przestrzennej służącej osiągnięciu ładu przestrzennego</w:t>
      </w:r>
    </w:p>
    <w:p w:rsidR="00A96D6D" w:rsidRPr="00F30F96" w:rsidRDefault="00A96D6D" w:rsidP="00F30F96">
      <w:pPr>
        <w:ind w:left="960"/>
        <w:jc w:val="both"/>
        <w:rPr>
          <w:sz w:val="18"/>
          <w:szCs w:val="20"/>
        </w:rPr>
      </w:pPr>
      <w:r w:rsidRPr="00F30F96">
        <w:rPr>
          <w:sz w:val="18"/>
          <w:szCs w:val="20"/>
        </w:rPr>
        <w:t xml:space="preserve">Zachowanie ładu przestrzennego jest jednym z podstawowych kryteriów wysokiej jakości życia w mieście. Nie jest to zadanie łatwe w sytuacji gdy struktura przestrzenna jest zaburzona. W Siedlcach możemy w tym kontekście wyróżnić elementy stanowiące bariery i utrudniające zachowanie ładu przestrzennego. Jest nią chociażby niekorzystnie usytuowana linia kolejowa, utrudniająca racjonalne planowanie systemów komunikacyjnych stanowiących szkielet urbanistyczny. Ponadto w toku przeprowadzonej diagnozy, zidentyfikowano pewne problemy związane z brakiem tradycyjnie rozumianego centrum miasta i deficytem atrakcyjnych przestrzeni publicznych w mieście. Dlatego zdecydowano o wyróżnieniu osobnego celu o </w:t>
      </w:r>
      <w:r w:rsidRPr="00F30F96">
        <w:rPr>
          <w:sz w:val="18"/>
          <w:szCs w:val="20"/>
        </w:rPr>
        <w:lastRenderedPageBreak/>
        <w:t xml:space="preserve">charakterze przestrzennym i prowadzeniu w jego ramach działań zmierzających do ochrony (w drodze rozwiązań planistycznych) terenów cennych z punktu widzenia interesu publicznego. Działania planistyczne w mieście podejmowane w najbliższej przyszłości, powinny również uwzględniać racjonalne lokalizacje terenów aktywizacji gospodarczej i budownictwa mieszkaniowego oraz ochronę tych terenów z przeznaczeniem na wymienione funkcje. Ponadto, prowadzenie polityki przestrzennej w mieście wielkości Siedlec musi wiązać się ze ścisłą współpracą z gminą wiejską, przede wszystkim w związku z narastającymi, często niekorzystnymi procesami </w:t>
      </w:r>
      <w:proofErr w:type="spellStart"/>
      <w:r w:rsidRPr="00F30F96">
        <w:rPr>
          <w:sz w:val="18"/>
          <w:szCs w:val="20"/>
        </w:rPr>
        <w:t>suburbanizacji</w:t>
      </w:r>
      <w:proofErr w:type="spellEnd"/>
      <w:r w:rsidRPr="00F30F96">
        <w:rPr>
          <w:sz w:val="18"/>
          <w:szCs w:val="20"/>
        </w:rPr>
        <w:t xml:space="preserve"> i rozlewania się miast.</w:t>
      </w:r>
    </w:p>
    <w:tbl>
      <w:tblPr>
        <w:tblStyle w:val="Tabela-Siatka"/>
        <w:tblW w:w="0" w:type="auto"/>
        <w:tblInd w:w="108" w:type="dxa"/>
        <w:tblLook w:val="04A0"/>
      </w:tblPr>
      <w:tblGrid>
        <w:gridCol w:w="360"/>
        <w:gridCol w:w="8263"/>
        <w:gridCol w:w="376"/>
      </w:tblGrid>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1</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Zdecydowanie zgadzam się, że taki cel powinien być realizowany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2</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zgadzam się, że taki cel powinien być realizowany, ale nie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3</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nie zgadzam się, że taki cel powinien być realizowany w perspektywie do 2025 r.</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4</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zgadzam się, aby taki cel był w ogóle realizowany</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5</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mam zdania</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bl>
    <w:p w:rsidR="00A96D6D" w:rsidRDefault="00A96D6D" w:rsidP="00A96D6D">
      <w:pPr>
        <w:rPr>
          <w:rFonts w:ascii="Arial" w:hAnsi="Arial" w:cs="Arial"/>
          <w:bCs/>
          <w:szCs w:val="24"/>
        </w:rPr>
      </w:pPr>
    </w:p>
    <w:p w:rsidR="00A96D6D" w:rsidRPr="00F30F96" w:rsidRDefault="00A96D6D" w:rsidP="00F30F96">
      <w:pPr>
        <w:pStyle w:val="Akapitzlist"/>
        <w:numPr>
          <w:ilvl w:val="2"/>
          <w:numId w:val="1"/>
        </w:numPr>
        <w:ind w:left="1200" w:hanging="240"/>
        <w:jc w:val="both"/>
        <w:rPr>
          <w:b/>
          <w:sz w:val="20"/>
          <w:szCs w:val="20"/>
        </w:rPr>
      </w:pPr>
      <w:r w:rsidRPr="00F30F96">
        <w:rPr>
          <w:b/>
          <w:sz w:val="20"/>
          <w:szCs w:val="20"/>
        </w:rPr>
        <w:t>Cel szczegółowy 4.2. Rewitalizacja obszarów problemowych i tworzenie wysokiej jakości przestrzeni publicznych</w:t>
      </w:r>
    </w:p>
    <w:p w:rsidR="00A96D6D" w:rsidRPr="00F30F96" w:rsidRDefault="00A96D6D" w:rsidP="00F30F96">
      <w:pPr>
        <w:ind w:left="960"/>
        <w:jc w:val="both"/>
        <w:rPr>
          <w:sz w:val="18"/>
          <w:szCs w:val="20"/>
        </w:rPr>
      </w:pPr>
      <w:r w:rsidRPr="00F30F96">
        <w:rPr>
          <w:sz w:val="18"/>
          <w:szCs w:val="20"/>
        </w:rPr>
        <w:t xml:space="preserve">Przy opisie poprzedniego celu oraz w diagnozie stanu istniejącego wspomniano o konieczności podjęcia działań naprawczych, skoncentrowanych przestrzennie na obszarach problemowych. W tym celu, w ramach diagnozy przeprowadzono analizę wewnętrznej struktury miasta z punktu widzenia występujących problemów społecznych. W świetle uzyskanych wyników można postawić wyraźną tezę o istnieniu obszarów koncentracji zjawisk niekorzystnych (śródmieście, południowa dzielnica przemysłowa), które wymagają szczególnej interwencji ze strony miasta. Powinna mieć ona kompleksowy wymiar, uwzględniający społeczne (zmiana społeczna, zmniejszenie poziomu wykluczenia), gospodarcze (wsparcie lokalnych przedsiębiorstw, poprawa sytuacji finansowej gospodarstw domowych) i przestrzenne (modernizacje, renowacje, odnowy budynków, terenów zielonych, rynków i placów, przede wszystkim o wysokiej wartości historycznej) aspekty rewitalizacji obszarów problemowych. </w:t>
      </w:r>
    </w:p>
    <w:tbl>
      <w:tblPr>
        <w:tblStyle w:val="Tabela-Siatka"/>
        <w:tblW w:w="0" w:type="auto"/>
        <w:tblInd w:w="108" w:type="dxa"/>
        <w:tblLook w:val="04A0"/>
      </w:tblPr>
      <w:tblGrid>
        <w:gridCol w:w="360"/>
        <w:gridCol w:w="8263"/>
        <w:gridCol w:w="376"/>
      </w:tblGrid>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1</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Zdecydowanie zgadzam się, że taki cel powinien być realizowany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2</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zgadzam się, że taki cel powinien być realizowany, ale nie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3</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nie zgadzam się, że taki cel powinien być realizowany w perspektywie do 2025 r.</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4</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zgadzam się, aby taki cel był w ogóle realizowany</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5</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mam zdania</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bl>
    <w:p w:rsidR="00A96D6D" w:rsidRDefault="00A96D6D" w:rsidP="00A96D6D">
      <w:pPr>
        <w:rPr>
          <w:rFonts w:ascii="Arial" w:hAnsi="Arial" w:cs="Arial"/>
          <w:bCs/>
          <w:szCs w:val="24"/>
        </w:rPr>
      </w:pPr>
    </w:p>
    <w:p w:rsidR="00A96D6D" w:rsidRPr="00F30F96" w:rsidRDefault="00A96D6D" w:rsidP="00F30F96">
      <w:pPr>
        <w:pStyle w:val="Akapitzlist"/>
        <w:numPr>
          <w:ilvl w:val="2"/>
          <w:numId w:val="1"/>
        </w:numPr>
        <w:ind w:left="1200" w:hanging="240"/>
        <w:jc w:val="both"/>
        <w:rPr>
          <w:b/>
          <w:sz w:val="20"/>
          <w:szCs w:val="20"/>
        </w:rPr>
      </w:pPr>
      <w:r w:rsidRPr="00F30F96">
        <w:rPr>
          <w:b/>
          <w:sz w:val="20"/>
          <w:szCs w:val="20"/>
        </w:rPr>
        <w:t>Cel szczegółowy 4.3. Rozwój budownictwa mieszkaniowego</w:t>
      </w:r>
    </w:p>
    <w:p w:rsidR="00A96D6D" w:rsidRPr="00F30F96" w:rsidRDefault="00A96D6D" w:rsidP="00F30F96">
      <w:pPr>
        <w:ind w:left="960"/>
        <w:jc w:val="both"/>
        <w:rPr>
          <w:sz w:val="18"/>
          <w:szCs w:val="20"/>
        </w:rPr>
      </w:pPr>
      <w:r w:rsidRPr="00F30F96">
        <w:rPr>
          <w:sz w:val="18"/>
          <w:szCs w:val="20"/>
        </w:rPr>
        <w:t xml:space="preserve">Ważną mocną stroną miasta, zidentyfikowaną w toku procesu diagnozowania jest rozwijający się sektor budownictwa mieszkaniowego. W podsumowaniu diagnozy stwierdzono również, że obszarem predystynowanym do wyznaczenia jako priorytet rozwojowy dla Siedlec jest wzmacnianie </w:t>
      </w:r>
      <w:proofErr w:type="spellStart"/>
      <w:r w:rsidRPr="00F30F96">
        <w:rPr>
          <w:sz w:val="18"/>
          <w:szCs w:val="20"/>
        </w:rPr>
        <w:t>subregionalnej</w:t>
      </w:r>
      <w:proofErr w:type="spellEnd"/>
      <w:r w:rsidRPr="00F30F96">
        <w:rPr>
          <w:sz w:val="18"/>
          <w:szCs w:val="20"/>
        </w:rPr>
        <w:t xml:space="preserve"> roli miasta jako ośrodka przyciągającego nowych mieszkańców. Rozwój budownictwa mieszkaniowego jest w tym kontekście kluczowy. Podejmowane działania będą dążyć do modernizacji istniejącej zabudowy mieszkaniowej (komunalnej) oraz wsparcia budowy nowych mieszkań (np. poprzez działania planistyczne) i odnowy istniejącej tkanki (poprzez działania rewitalizacyjne).</w:t>
      </w:r>
    </w:p>
    <w:tbl>
      <w:tblPr>
        <w:tblStyle w:val="Tabela-Siatka"/>
        <w:tblW w:w="0" w:type="auto"/>
        <w:tblInd w:w="108" w:type="dxa"/>
        <w:tblLook w:val="04A0"/>
      </w:tblPr>
      <w:tblGrid>
        <w:gridCol w:w="360"/>
        <w:gridCol w:w="8263"/>
        <w:gridCol w:w="376"/>
      </w:tblGrid>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1</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Zdecydowanie zgadzam się, że taki cel powinien być realizowany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2</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zgadzam się, że taki cel powinien być realizowany, ale nie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3</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nie zgadzam się, że taki cel powinien być realizowany w perspektywie do 2025 r.</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4</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zgadzam się, aby taki cel był w ogóle realizowany</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5</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mam zdania</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bl>
    <w:p w:rsidR="00A96D6D" w:rsidRDefault="00A96D6D" w:rsidP="00A96D6D">
      <w:pPr>
        <w:rPr>
          <w:rFonts w:ascii="Arial" w:hAnsi="Arial" w:cs="Arial"/>
          <w:bCs/>
          <w:szCs w:val="24"/>
        </w:rPr>
      </w:pPr>
    </w:p>
    <w:p w:rsidR="00A96D6D" w:rsidRPr="00F30F96" w:rsidRDefault="00A96D6D" w:rsidP="00F30F96">
      <w:pPr>
        <w:pStyle w:val="Akapitzlist"/>
        <w:numPr>
          <w:ilvl w:val="2"/>
          <w:numId w:val="1"/>
        </w:numPr>
        <w:ind w:left="1200" w:hanging="240"/>
        <w:jc w:val="both"/>
        <w:rPr>
          <w:b/>
          <w:sz w:val="20"/>
          <w:szCs w:val="20"/>
        </w:rPr>
      </w:pPr>
      <w:r w:rsidRPr="00F30F96">
        <w:rPr>
          <w:b/>
          <w:sz w:val="20"/>
          <w:szCs w:val="20"/>
        </w:rPr>
        <w:lastRenderedPageBreak/>
        <w:t>Cel szczegółowy 4.4. Zwiększenie poziomu bezpieczeństwa publicznego</w:t>
      </w:r>
    </w:p>
    <w:p w:rsidR="00A96D6D" w:rsidRPr="00F30F96" w:rsidRDefault="00A96D6D" w:rsidP="00F30F96">
      <w:pPr>
        <w:ind w:left="960"/>
        <w:jc w:val="both"/>
        <w:rPr>
          <w:sz w:val="18"/>
          <w:szCs w:val="20"/>
        </w:rPr>
      </w:pPr>
      <w:r w:rsidRPr="00F30F96">
        <w:rPr>
          <w:sz w:val="18"/>
          <w:szCs w:val="20"/>
        </w:rPr>
        <w:t>Jednym z podstawowych zadań publicznych jest zapewnienie bezpieczeństwa społeczności lokalnej. Wpływa ono na poziom jakości życia. Cel polegający na zwiększeniu poziomu bezpieczeństwa publicznego dotyczy zagrożeń związanych m.in. z przestępczością lub nieprzewidywalnymi przyrodniczymi zjawiskami ekstremalnymi. Zapewnienie ciągłego bezpieczeństwa możliwe będzie w sytuacji stałego wsparcia służb, które odpowiadają za nie bezpośrednio (policja, straż miejska, straż pożarna). Oprócz tych działań, należy pamiętać o odpowiednim utrzymaniu i ewentualnej rozbudowie systemu monitoringu miejskiego i oświetlenia ulicznego w strefach o dużych natężeniu przestępczości. Ponadto, w ramach tego celu zostaną podjęte działania zmierzające do przeniesienia więzienia z centrum miasta na jego obrzeża (co jest naturalną lokalizacją spotykaną w wielu miastach).</w:t>
      </w:r>
    </w:p>
    <w:tbl>
      <w:tblPr>
        <w:tblStyle w:val="Tabela-Siatka"/>
        <w:tblW w:w="0" w:type="auto"/>
        <w:tblInd w:w="108" w:type="dxa"/>
        <w:tblLook w:val="04A0"/>
      </w:tblPr>
      <w:tblGrid>
        <w:gridCol w:w="360"/>
        <w:gridCol w:w="8263"/>
        <w:gridCol w:w="376"/>
      </w:tblGrid>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1</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Zdecydowanie zgadzam się, że taki cel powinien być realizowany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2</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zgadzam się, że taki cel powinien być realizowany, ale nie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3</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nie zgadzam się, że taki cel powinien być realizowany w perspektywie do 2025 r.</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4</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zgadzam się, aby taki cel był w ogóle realizowany</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5</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mam zdania</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bl>
    <w:p w:rsidR="00A96D6D" w:rsidRDefault="00A96D6D" w:rsidP="00A96D6D">
      <w:pPr>
        <w:rPr>
          <w:rFonts w:ascii="Arial" w:hAnsi="Arial" w:cs="Arial"/>
          <w:bCs/>
          <w:szCs w:val="24"/>
        </w:rPr>
      </w:pPr>
    </w:p>
    <w:p w:rsidR="00A96D6D" w:rsidRPr="00F30F96" w:rsidRDefault="00A96D6D" w:rsidP="00F30F96">
      <w:pPr>
        <w:pStyle w:val="Akapitzlist"/>
        <w:numPr>
          <w:ilvl w:val="2"/>
          <w:numId w:val="1"/>
        </w:numPr>
        <w:ind w:left="1200" w:hanging="240"/>
        <w:jc w:val="both"/>
        <w:rPr>
          <w:b/>
          <w:sz w:val="20"/>
          <w:szCs w:val="20"/>
        </w:rPr>
      </w:pPr>
      <w:r w:rsidRPr="00F30F96">
        <w:rPr>
          <w:b/>
          <w:sz w:val="20"/>
          <w:szCs w:val="20"/>
        </w:rPr>
        <w:t>Cel szczegółowy 4.5. Rozwój nowoczesnej infrastruktury teleinformatycznej</w:t>
      </w:r>
    </w:p>
    <w:p w:rsidR="00A96D6D" w:rsidRPr="00F30F96" w:rsidRDefault="00A96D6D" w:rsidP="00F30F96">
      <w:pPr>
        <w:ind w:left="960"/>
        <w:jc w:val="both"/>
        <w:rPr>
          <w:sz w:val="18"/>
          <w:szCs w:val="20"/>
        </w:rPr>
      </w:pPr>
      <w:r w:rsidRPr="00F30F96">
        <w:rPr>
          <w:sz w:val="18"/>
          <w:szCs w:val="20"/>
        </w:rPr>
        <w:t>W dobie nowoczesnej gospodarki opartej na wiedzy, infrastruktura teleinformatyczna odgrywa kluczową rolę w komunikacji, porozumiewaniu się i realizowaniu wielu spraw, w tym również publicznych. Cel ten zakłada realizację ważnych inwestycji infrastrukturalnych zwiększających dostęp do szybkich łączy internetowych. Oprócz tego ważne będą działania związane z rozwojem usług tzw. e-administracji oraz modernizacją sprzętu i urządzeń teleinformatycznych.</w:t>
      </w:r>
    </w:p>
    <w:tbl>
      <w:tblPr>
        <w:tblStyle w:val="Tabela-Siatka"/>
        <w:tblW w:w="0" w:type="auto"/>
        <w:tblInd w:w="108" w:type="dxa"/>
        <w:tblLook w:val="04A0"/>
      </w:tblPr>
      <w:tblGrid>
        <w:gridCol w:w="360"/>
        <w:gridCol w:w="8263"/>
        <w:gridCol w:w="376"/>
      </w:tblGrid>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1</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Zdecydowanie zgadzam się, że taki cel powinien być realizowany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2</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zgadzam się, że taki cel powinien być realizowany, ale nie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3</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nie zgadzam się, że taki cel powinien być realizowany w perspektywie do 2025 r.</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4</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zgadzam się, aby taki cel był w ogóle realizowany</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5</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mam zdania</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bl>
    <w:p w:rsidR="00A96D6D" w:rsidRDefault="00A96D6D" w:rsidP="00A96D6D">
      <w:pPr>
        <w:rPr>
          <w:rFonts w:ascii="Arial" w:hAnsi="Arial" w:cs="Arial"/>
          <w:bCs/>
          <w:szCs w:val="24"/>
        </w:rPr>
      </w:pPr>
    </w:p>
    <w:p w:rsidR="00A96D6D" w:rsidRPr="00F30F96" w:rsidRDefault="00A96D6D" w:rsidP="00F30F96">
      <w:pPr>
        <w:pStyle w:val="Akapitzlist"/>
        <w:numPr>
          <w:ilvl w:val="2"/>
          <w:numId w:val="1"/>
        </w:numPr>
        <w:ind w:left="1200" w:hanging="240"/>
        <w:jc w:val="both"/>
        <w:rPr>
          <w:b/>
          <w:sz w:val="20"/>
          <w:szCs w:val="20"/>
        </w:rPr>
      </w:pPr>
      <w:r w:rsidRPr="00F30F96">
        <w:rPr>
          <w:b/>
          <w:sz w:val="20"/>
          <w:szCs w:val="20"/>
        </w:rPr>
        <w:t>Cel szczegółowy 4.6. Podniesienie poziomu usług ochrony zdrowia i profilaktyki zdrowotnej</w:t>
      </w:r>
    </w:p>
    <w:p w:rsidR="00A96D6D" w:rsidRPr="00F30F96" w:rsidRDefault="00A96D6D" w:rsidP="00F30F96">
      <w:pPr>
        <w:ind w:left="960"/>
        <w:jc w:val="both"/>
        <w:rPr>
          <w:sz w:val="18"/>
          <w:szCs w:val="20"/>
        </w:rPr>
      </w:pPr>
      <w:r w:rsidRPr="00F30F96">
        <w:rPr>
          <w:sz w:val="18"/>
          <w:szCs w:val="20"/>
        </w:rPr>
        <w:t>Jedną z mocnych stron miasta jest dostępność i jakość usług społecznych. Należy jednak pamiętać, że zwłaszcza usługi ochrony zdrowia i profilaktyki zdrowotnej to ciągle obszar wielu potrzeb i deficytów. Dlatego należy przyłożyć dużą wagę do realizacji tego celu szczegółowego. Będzie się to odbywać poprzez wsparcie finansowe, organizacyjne jednostek świadczących podstawową i specjalistyczną opiekę medyczną (ośrodki zdrowia, przychodnie, szpitale). Ponadto, miasto Siedlce będzie, na tyle na ile jest w stanie, wspierać rozbudowę i modernizację infrastruktury służby zdrowia. Ważne będzie również dalsze zwiększanie dostępności do publicznych usług zdrowotnych dla osób, które nie są w stanie skorzystać z form prywatnych oraz prowadzenie działań edukacyjnych i promujących profilaktykę zdrowotną.</w:t>
      </w:r>
    </w:p>
    <w:tbl>
      <w:tblPr>
        <w:tblStyle w:val="Tabela-Siatka"/>
        <w:tblW w:w="0" w:type="auto"/>
        <w:tblInd w:w="108" w:type="dxa"/>
        <w:tblLook w:val="04A0"/>
      </w:tblPr>
      <w:tblGrid>
        <w:gridCol w:w="360"/>
        <w:gridCol w:w="8263"/>
        <w:gridCol w:w="376"/>
      </w:tblGrid>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1</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Zdecydowanie zgadzam się, że taki cel powinien być realizowany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2</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zgadzam się, że taki cel powinien być realizowany, ale nie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3</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nie zgadzam się, że taki cel powinien być realizowany w perspektywie do 2025 r.</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4</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zgadzam się, aby taki cel był w ogóle realizowany</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5</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mam zdania</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bl>
    <w:p w:rsidR="00A96D6D" w:rsidRDefault="00A96D6D" w:rsidP="00A96D6D">
      <w:pPr>
        <w:rPr>
          <w:rFonts w:ascii="Arial" w:hAnsi="Arial" w:cs="Arial"/>
          <w:bCs/>
          <w:szCs w:val="24"/>
        </w:rPr>
      </w:pPr>
    </w:p>
    <w:p w:rsidR="00A96D6D" w:rsidRPr="00F30F96" w:rsidRDefault="00A96D6D" w:rsidP="00F30F96">
      <w:pPr>
        <w:pStyle w:val="Akapitzlist"/>
        <w:numPr>
          <w:ilvl w:val="2"/>
          <w:numId w:val="1"/>
        </w:numPr>
        <w:ind w:left="1200" w:hanging="240"/>
        <w:jc w:val="both"/>
        <w:rPr>
          <w:b/>
          <w:sz w:val="20"/>
          <w:szCs w:val="20"/>
        </w:rPr>
      </w:pPr>
      <w:r w:rsidRPr="00F30F96">
        <w:rPr>
          <w:b/>
          <w:sz w:val="20"/>
          <w:szCs w:val="20"/>
        </w:rPr>
        <w:lastRenderedPageBreak/>
        <w:t xml:space="preserve">Cel szczegółowy 4.7. Podniesienie poziomu usług z zakresu pomocy społecznej </w:t>
      </w:r>
    </w:p>
    <w:p w:rsidR="00A96D6D" w:rsidRPr="00F30F96" w:rsidRDefault="00A96D6D" w:rsidP="00F30F96">
      <w:pPr>
        <w:ind w:left="960"/>
        <w:jc w:val="both"/>
        <w:rPr>
          <w:sz w:val="18"/>
          <w:szCs w:val="20"/>
        </w:rPr>
      </w:pPr>
      <w:r w:rsidRPr="00F30F96">
        <w:rPr>
          <w:sz w:val="18"/>
          <w:szCs w:val="20"/>
        </w:rPr>
        <w:t>W tworzeniu dobrych warunków i jakości życia należy poświęcić szczególną uwagę osobom wymagającym pomocy. Tę sferę potrzeb lokalnych spełniają różne formy pomocy społecznej. Wśród nich są świadczenia finansowe, porady, szkolenia, pomoc psychologiczna. W realizacji tego celu należy również skupić się na wsparciu zorganizowanych placówek pomocy społecznej, zarówno tych prowadzonych przez jednostki samorządu terytorialnego (np. domy pomocy społecznej), jak i przez różnego rodzaju organizacje pozarządowe i religijne prowadzące jadłodajnie, ośrodki dla bezdomnych, chorych, potrzebujących. Ponadto, ważnym zadaniem do realizacji będzie likwidowanie barier dla osób niepełnosprawnych i starszych. W tym celu mieszczą się również wszelkie działania aktywizujące osoby wykluczone.</w:t>
      </w:r>
    </w:p>
    <w:tbl>
      <w:tblPr>
        <w:tblStyle w:val="Tabela-Siatka"/>
        <w:tblW w:w="0" w:type="auto"/>
        <w:tblInd w:w="108" w:type="dxa"/>
        <w:tblLook w:val="04A0"/>
      </w:tblPr>
      <w:tblGrid>
        <w:gridCol w:w="360"/>
        <w:gridCol w:w="8263"/>
        <w:gridCol w:w="376"/>
      </w:tblGrid>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1</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Zdecydowanie zgadzam się, że taki cel powinien być realizowany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2</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zgadzam się, że taki cel powinien być realizowany, ale nie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3</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nie zgadzam się, że taki cel powinien być realizowany w perspektywie do 2025 r.</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4</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zgadzam się, aby taki cel był w ogóle realizowany</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5</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mam zdania</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bl>
    <w:p w:rsidR="00A96D6D" w:rsidRDefault="00A96D6D" w:rsidP="00A96D6D">
      <w:pPr>
        <w:rPr>
          <w:rFonts w:ascii="Arial" w:hAnsi="Arial" w:cs="Arial"/>
          <w:bCs/>
          <w:szCs w:val="24"/>
        </w:rPr>
      </w:pPr>
    </w:p>
    <w:p w:rsidR="00A96D6D" w:rsidRPr="00F30F96" w:rsidRDefault="00A96D6D" w:rsidP="00F30F96">
      <w:pPr>
        <w:pStyle w:val="Akapitzlist"/>
        <w:numPr>
          <w:ilvl w:val="2"/>
          <w:numId w:val="1"/>
        </w:numPr>
        <w:ind w:left="1200" w:hanging="240"/>
        <w:jc w:val="both"/>
        <w:rPr>
          <w:b/>
          <w:sz w:val="20"/>
          <w:szCs w:val="20"/>
        </w:rPr>
      </w:pPr>
      <w:r w:rsidRPr="00F30F96">
        <w:rPr>
          <w:b/>
          <w:sz w:val="20"/>
          <w:szCs w:val="20"/>
        </w:rPr>
        <w:t>Cel szczegółowy 4.8. Rozwój oferty wychowania przedszkolnego i opieki nad dziećmi</w:t>
      </w:r>
    </w:p>
    <w:p w:rsidR="00A96D6D" w:rsidRPr="00F30F96" w:rsidRDefault="00A96D6D" w:rsidP="00F30F96">
      <w:pPr>
        <w:ind w:left="960"/>
        <w:jc w:val="both"/>
        <w:rPr>
          <w:sz w:val="18"/>
          <w:szCs w:val="20"/>
        </w:rPr>
      </w:pPr>
      <w:r w:rsidRPr="00F30F96">
        <w:rPr>
          <w:sz w:val="18"/>
          <w:szCs w:val="20"/>
        </w:rPr>
        <w:t>Cel ten jest kontynuacją dotychczasowych, pozytywnych działań na rzecz zapewnienia małym dzieciom miejsc w przedszkolach i placówkach opieki nad dziećmi (zob. mocne strony miasta). Rozwój oferty wychowania przedszkolnego jest konieczny z uwagi na sytuację demograficzną i społeczną. Jest również ważny ze względu na procesy obserwowane na rynku pracy (w znacznej części rodzin pracuje oboje rodziców) będąc tym samym jednym z elementów aktywnej polityki prorodzinnej. Oprócz przedszkoli ważne są także zorganizowane formy wsparcia opieki nad dziećmi do lat 3 (żłobki lub tzw. dopłaty do opiekunek będące ekwiwalentem dopłaty do żłobka).</w:t>
      </w:r>
    </w:p>
    <w:tbl>
      <w:tblPr>
        <w:tblStyle w:val="Tabela-Siatka"/>
        <w:tblW w:w="0" w:type="auto"/>
        <w:tblInd w:w="108" w:type="dxa"/>
        <w:tblLook w:val="04A0"/>
      </w:tblPr>
      <w:tblGrid>
        <w:gridCol w:w="360"/>
        <w:gridCol w:w="8263"/>
        <w:gridCol w:w="376"/>
      </w:tblGrid>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1</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Zdecydowanie zgadzam się, że taki cel powinien być realizowany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2</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zgadzam się, że taki cel powinien być realizowany, ale nie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3</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nie zgadzam się, że taki cel powinien być realizowany w perspektywie do 2025 r.</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4</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zgadzam się, aby taki cel był w ogóle realizowany</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5</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mam zdania</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bl>
    <w:p w:rsidR="00A96D6D" w:rsidRDefault="00A96D6D" w:rsidP="00A96D6D">
      <w:pPr>
        <w:rPr>
          <w:rFonts w:ascii="Arial" w:hAnsi="Arial" w:cs="Arial"/>
          <w:bCs/>
          <w:szCs w:val="24"/>
        </w:rPr>
      </w:pPr>
    </w:p>
    <w:p w:rsidR="00A96D6D" w:rsidRPr="00F30F96" w:rsidRDefault="00A96D6D" w:rsidP="00F30F96">
      <w:pPr>
        <w:pStyle w:val="Akapitzlist"/>
        <w:numPr>
          <w:ilvl w:val="2"/>
          <w:numId w:val="1"/>
        </w:numPr>
        <w:ind w:left="1200" w:hanging="240"/>
        <w:jc w:val="both"/>
        <w:rPr>
          <w:b/>
          <w:sz w:val="20"/>
          <w:szCs w:val="20"/>
        </w:rPr>
      </w:pPr>
      <w:r w:rsidRPr="00F30F96">
        <w:rPr>
          <w:b/>
          <w:sz w:val="20"/>
          <w:szCs w:val="20"/>
        </w:rPr>
        <w:t>Cel szczegółowy 4.9. Wsparcie działalności organizacji pozarządowych</w:t>
      </w:r>
    </w:p>
    <w:p w:rsidR="00A96D6D" w:rsidRPr="00F30F96" w:rsidRDefault="00A96D6D" w:rsidP="00F30F96">
      <w:pPr>
        <w:ind w:left="960"/>
        <w:jc w:val="both"/>
        <w:rPr>
          <w:sz w:val="18"/>
          <w:szCs w:val="20"/>
        </w:rPr>
      </w:pPr>
      <w:r w:rsidRPr="00F30F96">
        <w:rPr>
          <w:sz w:val="18"/>
          <w:szCs w:val="20"/>
        </w:rPr>
        <w:t>W diagnozie stanu istniejącego zidentyfikowano działalność organizacji pozarządowych jako mocną stronę miasta. Czynnik ten został wskazany podczas warsztatów z lokalnymi liderami, przedstawicielami różnych środowisk działających w Siedlcach. Uznanie dla działalności organizacja pozarządowych jest jednym z powodów wyboru tego celu szczegółowego. Innym jest fakt coraz większego zakresu zachęt do tworzenia inicjatyw współpracy międzysektorowej (samorząd terytorialny + organizacje pozarządowe) oraz wykorzystywania różnych form partnerstwa międzysektorowego. Dlatego uznano, że należy w dalszym ciągu przeznaczać część środków finansowych na zlecanie organizacjom pozarządowym realizacji zadań własnych gminy. Ponadto, realizacja tego celu będzie wiązała się ze wsparciem budowy i modernizacją infrastruktury dla sektora pozarządowego, a także z pomocą na rzecz nowopowstających podmiotów i zachęcaniem do ich tworzenia.</w:t>
      </w:r>
    </w:p>
    <w:tbl>
      <w:tblPr>
        <w:tblStyle w:val="Tabela-Siatka"/>
        <w:tblW w:w="0" w:type="auto"/>
        <w:tblInd w:w="108" w:type="dxa"/>
        <w:tblLook w:val="04A0"/>
      </w:tblPr>
      <w:tblGrid>
        <w:gridCol w:w="360"/>
        <w:gridCol w:w="8263"/>
        <w:gridCol w:w="376"/>
      </w:tblGrid>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1</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Zdecydowanie zgadzam się, że taki cel powinien być realizowany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2</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zgadzam się, że taki cel powinien być realizowany, ale nie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3</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nie zgadzam się, że taki cel powinien być realizowany w perspektywie do 2025 r.</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4</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zgadzam się, aby taki cel był w ogóle realizowany</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lastRenderedPageBreak/>
              <w:t>5</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mam zdania</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bl>
    <w:p w:rsidR="00A96D6D" w:rsidRDefault="00A96D6D" w:rsidP="00A96D6D">
      <w:pPr>
        <w:rPr>
          <w:rFonts w:ascii="Arial" w:hAnsi="Arial" w:cs="Arial"/>
          <w:bCs/>
          <w:szCs w:val="24"/>
        </w:rPr>
      </w:pPr>
    </w:p>
    <w:p w:rsidR="00A96D6D" w:rsidRPr="00F30F96" w:rsidRDefault="00A96D6D" w:rsidP="00F30F96">
      <w:pPr>
        <w:pStyle w:val="Akapitzlist"/>
        <w:numPr>
          <w:ilvl w:val="1"/>
          <w:numId w:val="1"/>
        </w:numPr>
        <w:ind w:left="840"/>
        <w:jc w:val="both"/>
        <w:rPr>
          <w:b/>
          <w:sz w:val="20"/>
          <w:szCs w:val="20"/>
        </w:rPr>
      </w:pPr>
      <w:bookmarkStart w:id="4" w:name="_Toc428877566"/>
      <w:r w:rsidRPr="00F30F96">
        <w:rPr>
          <w:b/>
          <w:sz w:val="20"/>
          <w:szCs w:val="20"/>
        </w:rPr>
        <w:t>Cel przekrojowy: Rozwój podporządkowany możliwościom finansowym miasta</w:t>
      </w:r>
      <w:bookmarkEnd w:id="4"/>
    </w:p>
    <w:p w:rsidR="00A96D6D" w:rsidRDefault="00636804" w:rsidP="00F30F96">
      <w:pPr>
        <w:ind w:left="960"/>
        <w:jc w:val="both"/>
        <w:rPr>
          <w:sz w:val="18"/>
          <w:szCs w:val="20"/>
        </w:rPr>
      </w:pPr>
      <w:r w:rsidRPr="00F30F96">
        <w:rPr>
          <w:sz w:val="18"/>
          <w:szCs w:val="20"/>
        </w:rPr>
        <w:t>W</w:t>
      </w:r>
      <w:r w:rsidR="00A96D6D" w:rsidRPr="00F30F96">
        <w:rPr>
          <w:sz w:val="18"/>
          <w:szCs w:val="20"/>
        </w:rPr>
        <w:t xml:space="preserve"> planowaniu strategicznym stosuje się wyznaczanie tzw. celu przekrojowego. Jest on określany wówczas, gdy pojawiają się pewne ogólne problemy lub wyzwania, które dotyczą wszystkich celów strategicznych. O takiej sytuacji możemy mówić w przypadku Siedlec, gdzie uznano, że sytuacja finansowa (warunkująca realizację pozostałych celów strategicznych) jest najbardziej znaczącą słabą stroną miasta. Dla niektórych odbiorców Strategii określenie „rozwój podporządkowany możliwościom finansowym miasta” może być swoistym truizmem, oczywistością. Jednak wydaje się, że w przypadku miast, w których deficyt budżetowy i dług publiczny jest na ponadprzeciętnie wysokim poziomie (co jest wynikiem wielu ważnych inwestycji infrastrukturalnych) należy wyraźnie podkreślić, że najbliższa perspektywa rozwojowa powinna w mniejszym stopniu koncentrować się na presji inwestycyjnej, a bardziej na ograniczeniu potencjalnych wydatków publicznych. Możliwości optymalizacji wydatków są ograniczone i mogą dotyczyć m.in. utrzymania infrastruktury publicznej, świadczeń pieniężnych lub wydatków inwestycyjnych. Oczywistym faktem jest to, że najmniej dotkliwe dla mieszkańców może okazać się ograniczenie wydatków inwestycyjnych. Poziom inwestowania miasta w najbliższych latach będzie ściśle uzależniony od stopnia zadłużenia i powinien możliwie maksymalnie wykorzystywać dostępne źródła dofinansowania zewnętrznego na szczególnie ważne projekty (wskazan</w:t>
      </w:r>
      <w:r w:rsidR="00F30F96">
        <w:rPr>
          <w:sz w:val="18"/>
          <w:szCs w:val="20"/>
        </w:rPr>
        <w:t>e w strategii priorytety rozwoj</w:t>
      </w:r>
      <w:r w:rsidR="00A96D6D" w:rsidRPr="00F30F96">
        <w:rPr>
          <w:sz w:val="18"/>
          <w:szCs w:val="20"/>
        </w:rPr>
        <w:t>owe).</w:t>
      </w:r>
    </w:p>
    <w:tbl>
      <w:tblPr>
        <w:tblStyle w:val="Tabela-Siatka"/>
        <w:tblW w:w="0" w:type="auto"/>
        <w:tblInd w:w="108" w:type="dxa"/>
        <w:tblLook w:val="04A0"/>
      </w:tblPr>
      <w:tblGrid>
        <w:gridCol w:w="360"/>
        <w:gridCol w:w="8263"/>
        <w:gridCol w:w="376"/>
      </w:tblGrid>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1</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Zdecydowanie zgadzam się, że taki cel powinien być realizowany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2</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zgadzam się, że taki cel powinien być realizowany, ale nie priorytetowo</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3</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Raczej nie zgadzam się, że taki cel powinien być realizowany w perspektywie do 2025 r.</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4</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zgadzam się, aby taki cel był w ogóle realizowany</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r w:rsidR="00F87F12" w:rsidRPr="00A96D6D" w:rsidTr="00DC1B40">
        <w:trPr>
          <w:trHeight w:val="360"/>
        </w:trPr>
        <w:tc>
          <w:tcPr>
            <w:tcW w:w="360" w:type="dxa"/>
            <w:shd w:val="clear" w:color="auto" w:fill="D9D9D9" w:themeFill="background1" w:themeFillShade="D9"/>
            <w:vAlign w:val="center"/>
          </w:tcPr>
          <w:p w:rsidR="00F87F12" w:rsidRPr="00A96D6D" w:rsidRDefault="00F87F12" w:rsidP="00DC1B40">
            <w:pPr>
              <w:pStyle w:val="Akapitzlist"/>
              <w:spacing w:after="0" w:line="240" w:lineRule="auto"/>
              <w:ind w:left="0"/>
              <w:jc w:val="center"/>
              <w:rPr>
                <w:sz w:val="20"/>
                <w:szCs w:val="20"/>
              </w:rPr>
            </w:pPr>
            <w:r w:rsidRPr="00A96D6D">
              <w:rPr>
                <w:sz w:val="20"/>
                <w:szCs w:val="20"/>
              </w:rPr>
              <w:t>5</w:t>
            </w:r>
          </w:p>
        </w:tc>
        <w:tc>
          <w:tcPr>
            <w:tcW w:w="8263" w:type="dxa"/>
            <w:shd w:val="clear" w:color="auto" w:fill="D9D9D9" w:themeFill="background1" w:themeFillShade="D9"/>
            <w:vAlign w:val="center"/>
          </w:tcPr>
          <w:p w:rsidR="00F87F12" w:rsidRPr="00A96D6D" w:rsidRDefault="00F87F12" w:rsidP="00DC1B40">
            <w:pPr>
              <w:pStyle w:val="Akapitzlist"/>
              <w:spacing w:after="0" w:line="240" w:lineRule="auto"/>
              <w:ind w:left="0"/>
              <w:rPr>
                <w:sz w:val="20"/>
                <w:szCs w:val="20"/>
              </w:rPr>
            </w:pPr>
            <w:r w:rsidRPr="00A96D6D">
              <w:rPr>
                <w:sz w:val="20"/>
                <w:szCs w:val="20"/>
              </w:rPr>
              <w:t>Nie mam zdania</w:t>
            </w:r>
          </w:p>
        </w:tc>
        <w:tc>
          <w:tcPr>
            <w:tcW w:w="376" w:type="dxa"/>
            <w:vAlign w:val="center"/>
          </w:tcPr>
          <w:p w:rsidR="00F87F12" w:rsidRPr="00A96D6D" w:rsidRDefault="00F87F12" w:rsidP="00DC1B40">
            <w:pPr>
              <w:pStyle w:val="Akapitzlist"/>
              <w:spacing w:after="0" w:line="240" w:lineRule="auto"/>
              <w:ind w:left="0"/>
              <w:jc w:val="center"/>
              <w:rPr>
                <w:sz w:val="20"/>
                <w:szCs w:val="20"/>
              </w:rPr>
            </w:pPr>
          </w:p>
        </w:tc>
      </w:tr>
    </w:tbl>
    <w:p w:rsidR="00F87F12" w:rsidRDefault="00F87F12" w:rsidP="00F87F12">
      <w:pPr>
        <w:jc w:val="both"/>
        <w:rPr>
          <w:sz w:val="18"/>
          <w:szCs w:val="20"/>
        </w:rPr>
      </w:pPr>
    </w:p>
    <w:p w:rsidR="00AA6F1D" w:rsidRDefault="00AA6F1D" w:rsidP="00F87F12">
      <w:pPr>
        <w:jc w:val="both"/>
        <w:rPr>
          <w:sz w:val="18"/>
          <w:szCs w:val="20"/>
        </w:rPr>
      </w:pPr>
    </w:p>
    <w:p w:rsidR="00AA6F1D" w:rsidRPr="00D96F7B" w:rsidRDefault="00AA6F1D" w:rsidP="00F87F12">
      <w:pPr>
        <w:jc w:val="both"/>
        <w:rPr>
          <w:b/>
          <w:sz w:val="18"/>
          <w:szCs w:val="20"/>
        </w:rPr>
      </w:pPr>
      <w:r w:rsidRPr="00D96F7B">
        <w:rPr>
          <w:b/>
          <w:sz w:val="18"/>
          <w:szCs w:val="20"/>
        </w:rPr>
        <w:t xml:space="preserve">Poniżej mogą Państwo zapisać ewentualne uwagi do całego dokumentu. Jego projekt został zamieszczony na stronach internetowych Urzędu Miasta </w:t>
      </w:r>
      <w:proofErr w:type="spellStart"/>
      <w:r w:rsidRPr="00D96F7B">
        <w:rPr>
          <w:b/>
          <w:sz w:val="18"/>
          <w:szCs w:val="20"/>
        </w:rPr>
        <w:t>Siedlce</w:t>
      </w:r>
      <w:proofErr w:type="spellEnd"/>
      <w:r w:rsidRPr="00D96F7B">
        <w:rPr>
          <w:b/>
          <w:sz w:val="18"/>
          <w:szCs w:val="20"/>
        </w:rPr>
        <w:t xml:space="preserve"> w </w:t>
      </w:r>
      <w:r w:rsidR="00080477">
        <w:rPr>
          <w:b/>
          <w:sz w:val="18"/>
          <w:szCs w:val="20"/>
        </w:rPr>
        <w:t xml:space="preserve">zakładce "Strategia Rozwoju Miasta </w:t>
      </w:r>
      <w:proofErr w:type="spellStart"/>
      <w:r w:rsidR="00080477">
        <w:rPr>
          <w:b/>
          <w:sz w:val="18"/>
          <w:szCs w:val="20"/>
        </w:rPr>
        <w:t>Siedlce</w:t>
      </w:r>
      <w:proofErr w:type="spellEnd"/>
      <w:r w:rsidR="00080477">
        <w:rPr>
          <w:b/>
          <w:sz w:val="18"/>
          <w:szCs w:val="20"/>
        </w:rPr>
        <w:t xml:space="preserve"> do 2025 r." oraz "Prawo Lokalne Konsultacje Społecze".</w:t>
      </w:r>
    </w:p>
    <w:p w:rsidR="00D96F7B" w:rsidRDefault="00D96F7B" w:rsidP="00F87F12">
      <w:pPr>
        <w:jc w:val="both"/>
        <w:rPr>
          <w:sz w:val="18"/>
          <w:szCs w:val="20"/>
        </w:rPr>
      </w:pPr>
    </w:p>
    <w:tbl>
      <w:tblPr>
        <w:tblStyle w:val="Tabela-Siatka"/>
        <w:tblW w:w="0" w:type="auto"/>
        <w:tblLook w:val="04A0"/>
      </w:tblPr>
      <w:tblGrid>
        <w:gridCol w:w="3070"/>
        <w:gridCol w:w="3071"/>
        <w:gridCol w:w="3071"/>
      </w:tblGrid>
      <w:tr w:rsidR="00D958EB" w:rsidTr="00D958EB">
        <w:tc>
          <w:tcPr>
            <w:tcW w:w="3070" w:type="dxa"/>
            <w:shd w:val="clear" w:color="auto" w:fill="D9D9D9" w:themeFill="background1" w:themeFillShade="D9"/>
            <w:vAlign w:val="center"/>
          </w:tcPr>
          <w:p w:rsidR="00D958EB" w:rsidRDefault="00D958EB" w:rsidP="00D958EB">
            <w:pPr>
              <w:jc w:val="center"/>
              <w:rPr>
                <w:sz w:val="18"/>
                <w:szCs w:val="20"/>
              </w:rPr>
            </w:pPr>
            <w:r>
              <w:rPr>
                <w:sz w:val="18"/>
                <w:szCs w:val="20"/>
              </w:rPr>
              <w:t>Część lub fragment projektu Strategii, której dotyczy uwaga</w:t>
            </w:r>
          </w:p>
        </w:tc>
        <w:tc>
          <w:tcPr>
            <w:tcW w:w="3071" w:type="dxa"/>
            <w:shd w:val="clear" w:color="auto" w:fill="D9D9D9" w:themeFill="background1" w:themeFillShade="D9"/>
            <w:vAlign w:val="center"/>
          </w:tcPr>
          <w:p w:rsidR="00D958EB" w:rsidRDefault="00D958EB" w:rsidP="00D958EB">
            <w:pPr>
              <w:jc w:val="center"/>
              <w:rPr>
                <w:sz w:val="18"/>
                <w:szCs w:val="20"/>
              </w:rPr>
            </w:pPr>
            <w:r>
              <w:rPr>
                <w:sz w:val="18"/>
                <w:szCs w:val="20"/>
              </w:rPr>
              <w:t>Treść uwagi</w:t>
            </w:r>
          </w:p>
        </w:tc>
        <w:tc>
          <w:tcPr>
            <w:tcW w:w="3071" w:type="dxa"/>
            <w:shd w:val="clear" w:color="auto" w:fill="D9D9D9" w:themeFill="background1" w:themeFillShade="D9"/>
            <w:vAlign w:val="center"/>
          </w:tcPr>
          <w:p w:rsidR="00D958EB" w:rsidRDefault="00D958EB" w:rsidP="00D958EB">
            <w:pPr>
              <w:jc w:val="center"/>
              <w:rPr>
                <w:sz w:val="18"/>
                <w:szCs w:val="20"/>
              </w:rPr>
            </w:pPr>
            <w:r>
              <w:rPr>
                <w:sz w:val="18"/>
                <w:szCs w:val="20"/>
              </w:rPr>
              <w:t>Uzasadnienie do uwagi</w:t>
            </w:r>
          </w:p>
        </w:tc>
      </w:tr>
      <w:tr w:rsidR="00D958EB" w:rsidTr="00D958EB">
        <w:tc>
          <w:tcPr>
            <w:tcW w:w="3070" w:type="dxa"/>
            <w:vAlign w:val="center"/>
          </w:tcPr>
          <w:p w:rsidR="00D958EB" w:rsidRDefault="00D958EB" w:rsidP="00D958EB">
            <w:pPr>
              <w:rPr>
                <w:sz w:val="18"/>
                <w:szCs w:val="20"/>
              </w:rPr>
            </w:pPr>
          </w:p>
        </w:tc>
        <w:tc>
          <w:tcPr>
            <w:tcW w:w="3071" w:type="dxa"/>
            <w:vAlign w:val="center"/>
          </w:tcPr>
          <w:p w:rsidR="00D958EB" w:rsidRDefault="00D958EB" w:rsidP="00D958EB">
            <w:pPr>
              <w:rPr>
                <w:sz w:val="18"/>
                <w:szCs w:val="20"/>
              </w:rPr>
            </w:pPr>
          </w:p>
        </w:tc>
        <w:tc>
          <w:tcPr>
            <w:tcW w:w="3071" w:type="dxa"/>
            <w:vAlign w:val="center"/>
          </w:tcPr>
          <w:p w:rsidR="00D958EB" w:rsidRDefault="00D958EB" w:rsidP="00D958EB">
            <w:pPr>
              <w:rPr>
                <w:sz w:val="18"/>
                <w:szCs w:val="20"/>
              </w:rPr>
            </w:pPr>
          </w:p>
        </w:tc>
      </w:tr>
      <w:tr w:rsidR="00D958EB" w:rsidTr="00D958EB">
        <w:tc>
          <w:tcPr>
            <w:tcW w:w="3070" w:type="dxa"/>
            <w:vAlign w:val="center"/>
          </w:tcPr>
          <w:p w:rsidR="00D958EB" w:rsidRDefault="00D958EB" w:rsidP="00D958EB">
            <w:pPr>
              <w:rPr>
                <w:sz w:val="18"/>
                <w:szCs w:val="20"/>
              </w:rPr>
            </w:pPr>
          </w:p>
        </w:tc>
        <w:tc>
          <w:tcPr>
            <w:tcW w:w="3071" w:type="dxa"/>
            <w:vAlign w:val="center"/>
          </w:tcPr>
          <w:p w:rsidR="00D958EB" w:rsidRDefault="00D958EB" w:rsidP="00D958EB">
            <w:pPr>
              <w:rPr>
                <w:sz w:val="18"/>
                <w:szCs w:val="20"/>
              </w:rPr>
            </w:pPr>
          </w:p>
        </w:tc>
        <w:tc>
          <w:tcPr>
            <w:tcW w:w="3071" w:type="dxa"/>
            <w:vAlign w:val="center"/>
          </w:tcPr>
          <w:p w:rsidR="00D958EB" w:rsidRDefault="00D958EB" w:rsidP="00D958EB">
            <w:pPr>
              <w:rPr>
                <w:sz w:val="18"/>
                <w:szCs w:val="20"/>
              </w:rPr>
            </w:pPr>
          </w:p>
        </w:tc>
      </w:tr>
      <w:tr w:rsidR="00D958EB" w:rsidTr="00D958EB">
        <w:tc>
          <w:tcPr>
            <w:tcW w:w="3070" w:type="dxa"/>
            <w:vAlign w:val="center"/>
          </w:tcPr>
          <w:p w:rsidR="00D958EB" w:rsidRDefault="00D958EB" w:rsidP="00D958EB">
            <w:pPr>
              <w:rPr>
                <w:sz w:val="18"/>
                <w:szCs w:val="20"/>
              </w:rPr>
            </w:pPr>
          </w:p>
        </w:tc>
        <w:tc>
          <w:tcPr>
            <w:tcW w:w="3071" w:type="dxa"/>
            <w:vAlign w:val="center"/>
          </w:tcPr>
          <w:p w:rsidR="00D958EB" w:rsidRDefault="00D958EB" w:rsidP="00D958EB">
            <w:pPr>
              <w:rPr>
                <w:sz w:val="18"/>
                <w:szCs w:val="20"/>
              </w:rPr>
            </w:pPr>
          </w:p>
        </w:tc>
        <w:tc>
          <w:tcPr>
            <w:tcW w:w="3071" w:type="dxa"/>
            <w:vAlign w:val="center"/>
          </w:tcPr>
          <w:p w:rsidR="00D958EB" w:rsidRDefault="00D958EB" w:rsidP="00D958EB">
            <w:pPr>
              <w:rPr>
                <w:sz w:val="18"/>
                <w:szCs w:val="20"/>
              </w:rPr>
            </w:pPr>
          </w:p>
        </w:tc>
      </w:tr>
      <w:tr w:rsidR="00D958EB" w:rsidTr="00D958EB">
        <w:tc>
          <w:tcPr>
            <w:tcW w:w="3070" w:type="dxa"/>
            <w:vAlign w:val="center"/>
          </w:tcPr>
          <w:p w:rsidR="00D958EB" w:rsidRDefault="00D958EB" w:rsidP="00D958EB">
            <w:pPr>
              <w:rPr>
                <w:sz w:val="18"/>
                <w:szCs w:val="20"/>
              </w:rPr>
            </w:pPr>
          </w:p>
        </w:tc>
        <w:tc>
          <w:tcPr>
            <w:tcW w:w="3071" w:type="dxa"/>
            <w:vAlign w:val="center"/>
          </w:tcPr>
          <w:p w:rsidR="00D958EB" w:rsidRDefault="00D958EB" w:rsidP="00D958EB">
            <w:pPr>
              <w:rPr>
                <w:sz w:val="18"/>
                <w:szCs w:val="20"/>
              </w:rPr>
            </w:pPr>
          </w:p>
        </w:tc>
        <w:tc>
          <w:tcPr>
            <w:tcW w:w="3071" w:type="dxa"/>
            <w:vAlign w:val="center"/>
          </w:tcPr>
          <w:p w:rsidR="00D958EB" w:rsidRDefault="00D958EB" w:rsidP="00D958EB">
            <w:pPr>
              <w:rPr>
                <w:sz w:val="18"/>
                <w:szCs w:val="20"/>
              </w:rPr>
            </w:pPr>
          </w:p>
        </w:tc>
      </w:tr>
      <w:tr w:rsidR="00D958EB" w:rsidTr="00D958EB">
        <w:tc>
          <w:tcPr>
            <w:tcW w:w="3070" w:type="dxa"/>
            <w:vAlign w:val="center"/>
          </w:tcPr>
          <w:p w:rsidR="00D958EB" w:rsidRDefault="00D958EB" w:rsidP="00D958EB">
            <w:pPr>
              <w:rPr>
                <w:sz w:val="18"/>
                <w:szCs w:val="20"/>
              </w:rPr>
            </w:pPr>
          </w:p>
        </w:tc>
        <w:tc>
          <w:tcPr>
            <w:tcW w:w="3071" w:type="dxa"/>
            <w:vAlign w:val="center"/>
          </w:tcPr>
          <w:p w:rsidR="00D958EB" w:rsidRDefault="00D958EB" w:rsidP="00D958EB">
            <w:pPr>
              <w:rPr>
                <w:sz w:val="18"/>
                <w:szCs w:val="20"/>
              </w:rPr>
            </w:pPr>
          </w:p>
        </w:tc>
        <w:tc>
          <w:tcPr>
            <w:tcW w:w="3071" w:type="dxa"/>
            <w:vAlign w:val="center"/>
          </w:tcPr>
          <w:p w:rsidR="00D958EB" w:rsidRDefault="00D958EB" w:rsidP="00D958EB">
            <w:pPr>
              <w:rPr>
                <w:sz w:val="18"/>
                <w:szCs w:val="20"/>
              </w:rPr>
            </w:pPr>
          </w:p>
        </w:tc>
      </w:tr>
    </w:tbl>
    <w:p w:rsidR="00AA6F1D" w:rsidRPr="00F30F96" w:rsidRDefault="00AA6F1D" w:rsidP="00F87F12">
      <w:pPr>
        <w:jc w:val="both"/>
        <w:rPr>
          <w:sz w:val="18"/>
          <w:szCs w:val="20"/>
        </w:rPr>
      </w:pPr>
      <w:bookmarkStart w:id="5" w:name="_GoBack"/>
      <w:bookmarkEnd w:id="5"/>
    </w:p>
    <w:sectPr w:rsidR="00AA6F1D" w:rsidRPr="00F30F96" w:rsidSect="003E5D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66566"/>
    <w:multiLevelType w:val="hybridMultilevel"/>
    <w:tmpl w:val="9C0603F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E8507AB"/>
    <w:multiLevelType w:val="hybridMultilevel"/>
    <w:tmpl w:val="938001A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4127974"/>
    <w:multiLevelType w:val="hybridMultilevel"/>
    <w:tmpl w:val="4468B7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91963A3"/>
    <w:multiLevelType w:val="hybridMultilevel"/>
    <w:tmpl w:val="6C0802D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91A1123"/>
    <w:multiLevelType w:val="hybridMultilevel"/>
    <w:tmpl w:val="199A73E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D3E5B2A"/>
    <w:multiLevelType w:val="hybridMultilevel"/>
    <w:tmpl w:val="6DBA16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0D81B57"/>
    <w:multiLevelType w:val="hybridMultilevel"/>
    <w:tmpl w:val="6092468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42A69AE"/>
    <w:multiLevelType w:val="hybridMultilevel"/>
    <w:tmpl w:val="37CAB244"/>
    <w:lvl w:ilvl="0" w:tplc="B8A64C0C">
      <w:start w:val="1"/>
      <w:numFmt w:val="upperRoman"/>
      <w:lvlText w:val="%1."/>
      <w:lvlJc w:val="left"/>
      <w:pPr>
        <w:ind w:left="1080" w:hanging="720"/>
      </w:pPr>
      <w:rPr>
        <w:rFonts w:hint="default"/>
      </w:r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35B3CDF"/>
    <w:multiLevelType w:val="hybridMultilevel"/>
    <w:tmpl w:val="CCCC6D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77F19EC"/>
    <w:multiLevelType w:val="hybridMultilevel"/>
    <w:tmpl w:val="48204F7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D1D0CF4"/>
    <w:multiLevelType w:val="hybridMultilevel"/>
    <w:tmpl w:val="5A0634D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EDA3B9C"/>
    <w:multiLevelType w:val="hybridMultilevel"/>
    <w:tmpl w:val="29D8AF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F3F6E3B"/>
    <w:multiLevelType w:val="hybridMultilevel"/>
    <w:tmpl w:val="4FDAC4D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0075A23"/>
    <w:multiLevelType w:val="hybridMultilevel"/>
    <w:tmpl w:val="74F6906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BA05785"/>
    <w:multiLevelType w:val="hybridMultilevel"/>
    <w:tmpl w:val="9E98B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D112DE3"/>
    <w:multiLevelType w:val="hybridMultilevel"/>
    <w:tmpl w:val="10BE972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6D7F6151"/>
    <w:multiLevelType w:val="hybridMultilevel"/>
    <w:tmpl w:val="54C209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E0D372E"/>
    <w:multiLevelType w:val="hybridMultilevel"/>
    <w:tmpl w:val="5456BAA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E254758"/>
    <w:multiLevelType w:val="hybridMultilevel"/>
    <w:tmpl w:val="7F405F6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7178560F"/>
    <w:multiLevelType w:val="hybridMultilevel"/>
    <w:tmpl w:val="7F2E79F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2311E47"/>
    <w:multiLevelType w:val="hybridMultilevel"/>
    <w:tmpl w:val="7B58527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AA54D23"/>
    <w:multiLevelType w:val="hybridMultilevel"/>
    <w:tmpl w:val="EE2211F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6"/>
  </w:num>
  <w:num w:numId="4">
    <w:abstractNumId w:val="12"/>
  </w:num>
  <w:num w:numId="5">
    <w:abstractNumId w:val="3"/>
  </w:num>
  <w:num w:numId="6">
    <w:abstractNumId w:val="13"/>
  </w:num>
  <w:num w:numId="7">
    <w:abstractNumId w:val="21"/>
  </w:num>
  <w:num w:numId="8">
    <w:abstractNumId w:val="11"/>
  </w:num>
  <w:num w:numId="9">
    <w:abstractNumId w:val="9"/>
  </w:num>
  <w:num w:numId="10">
    <w:abstractNumId w:val="14"/>
  </w:num>
  <w:num w:numId="11">
    <w:abstractNumId w:val="6"/>
  </w:num>
  <w:num w:numId="12">
    <w:abstractNumId w:val="20"/>
  </w:num>
  <w:num w:numId="13">
    <w:abstractNumId w:val="5"/>
  </w:num>
  <w:num w:numId="14">
    <w:abstractNumId w:val="1"/>
  </w:num>
  <w:num w:numId="15">
    <w:abstractNumId w:val="17"/>
  </w:num>
  <w:num w:numId="16">
    <w:abstractNumId w:val="2"/>
  </w:num>
  <w:num w:numId="17">
    <w:abstractNumId w:val="15"/>
  </w:num>
  <w:num w:numId="18">
    <w:abstractNumId w:val="10"/>
  </w:num>
  <w:num w:numId="19">
    <w:abstractNumId w:val="18"/>
  </w:num>
  <w:num w:numId="20">
    <w:abstractNumId w:val="0"/>
  </w:num>
  <w:num w:numId="21">
    <w:abstractNumId w:val="19"/>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E87245"/>
    <w:rsid w:val="00080477"/>
    <w:rsid w:val="001F3867"/>
    <w:rsid w:val="00265470"/>
    <w:rsid w:val="003E5DDA"/>
    <w:rsid w:val="004E6CA6"/>
    <w:rsid w:val="005717DF"/>
    <w:rsid w:val="00636804"/>
    <w:rsid w:val="008361A3"/>
    <w:rsid w:val="009173C4"/>
    <w:rsid w:val="00A96D6D"/>
    <w:rsid w:val="00AA6F1D"/>
    <w:rsid w:val="00C40D6C"/>
    <w:rsid w:val="00CD08D6"/>
    <w:rsid w:val="00D958EB"/>
    <w:rsid w:val="00D96F7B"/>
    <w:rsid w:val="00E01172"/>
    <w:rsid w:val="00E87245"/>
    <w:rsid w:val="00F0445F"/>
    <w:rsid w:val="00F30F96"/>
    <w:rsid w:val="00F87F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7245"/>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1"/>
    <w:basedOn w:val="Normalny"/>
    <w:link w:val="AkapitzlistZnak"/>
    <w:uiPriority w:val="34"/>
    <w:qFormat/>
    <w:rsid w:val="00E87245"/>
    <w:pPr>
      <w:ind w:left="720"/>
      <w:contextualSpacing/>
    </w:pPr>
  </w:style>
  <w:style w:type="table" w:styleId="Tabela-Siatka">
    <w:name w:val="Table Grid"/>
    <w:basedOn w:val="Standardowy"/>
    <w:uiPriority w:val="39"/>
    <w:rsid w:val="00E87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C40D6C"/>
    <w:rPr>
      <w:sz w:val="16"/>
      <w:szCs w:val="16"/>
    </w:rPr>
  </w:style>
  <w:style w:type="paragraph" w:styleId="Tekstkomentarza">
    <w:name w:val="annotation text"/>
    <w:basedOn w:val="Normalny"/>
    <w:link w:val="TekstkomentarzaZnak"/>
    <w:uiPriority w:val="99"/>
    <w:semiHidden/>
    <w:unhideWhenUsed/>
    <w:rsid w:val="00C40D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40D6C"/>
    <w:rPr>
      <w:sz w:val="20"/>
      <w:szCs w:val="20"/>
    </w:rPr>
  </w:style>
  <w:style w:type="paragraph" w:styleId="Tematkomentarza">
    <w:name w:val="annotation subject"/>
    <w:basedOn w:val="Tekstkomentarza"/>
    <w:next w:val="Tekstkomentarza"/>
    <w:link w:val="TematkomentarzaZnak"/>
    <w:uiPriority w:val="99"/>
    <w:semiHidden/>
    <w:unhideWhenUsed/>
    <w:rsid w:val="00C40D6C"/>
    <w:rPr>
      <w:b/>
      <w:bCs/>
    </w:rPr>
  </w:style>
  <w:style w:type="character" w:customStyle="1" w:styleId="TematkomentarzaZnak">
    <w:name w:val="Temat komentarza Znak"/>
    <w:basedOn w:val="TekstkomentarzaZnak"/>
    <w:link w:val="Tematkomentarza"/>
    <w:uiPriority w:val="99"/>
    <w:semiHidden/>
    <w:rsid w:val="00C40D6C"/>
    <w:rPr>
      <w:b/>
      <w:bCs/>
      <w:sz w:val="20"/>
      <w:szCs w:val="20"/>
    </w:rPr>
  </w:style>
  <w:style w:type="paragraph" w:styleId="Tekstdymka">
    <w:name w:val="Balloon Text"/>
    <w:basedOn w:val="Normalny"/>
    <w:link w:val="TekstdymkaZnak"/>
    <w:uiPriority w:val="99"/>
    <w:semiHidden/>
    <w:unhideWhenUsed/>
    <w:rsid w:val="00C40D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40D6C"/>
    <w:rPr>
      <w:rFonts w:ascii="Tahoma" w:hAnsi="Tahoma" w:cs="Tahoma"/>
      <w:sz w:val="16"/>
      <w:szCs w:val="16"/>
    </w:rPr>
  </w:style>
  <w:style w:type="character" w:customStyle="1" w:styleId="AkapitzlistZnak">
    <w:name w:val="Akapit z listą Znak"/>
    <w:aliases w:val="Akapit z listą 1 Znak"/>
    <w:basedOn w:val="Domylnaczcionkaakapitu"/>
    <w:link w:val="Akapitzlist"/>
    <w:uiPriority w:val="34"/>
    <w:locked/>
    <w:rsid w:val="00A96D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7245"/>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1"/>
    <w:basedOn w:val="Normalny"/>
    <w:link w:val="AkapitzlistZnak"/>
    <w:uiPriority w:val="34"/>
    <w:qFormat/>
    <w:rsid w:val="00E87245"/>
    <w:pPr>
      <w:ind w:left="720"/>
      <w:contextualSpacing/>
    </w:pPr>
  </w:style>
  <w:style w:type="table" w:styleId="Tabela-Siatka">
    <w:name w:val="Table Grid"/>
    <w:basedOn w:val="Standardowy"/>
    <w:uiPriority w:val="39"/>
    <w:rsid w:val="00E87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C40D6C"/>
    <w:rPr>
      <w:sz w:val="16"/>
      <w:szCs w:val="16"/>
    </w:rPr>
  </w:style>
  <w:style w:type="paragraph" w:styleId="Tekstkomentarza">
    <w:name w:val="annotation text"/>
    <w:basedOn w:val="Normalny"/>
    <w:link w:val="TekstkomentarzaZnak"/>
    <w:uiPriority w:val="99"/>
    <w:semiHidden/>
    <w:unhideWhenUsed/>
    <w:rsid w:val="00C40D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40D6C"/>
    <w:rPr>
      <w:sz w:val="20"/>
      <w:szCs w:val="20"/>
    </w:rPr>
  </w:style>
  <w:style w:type="paragraph" w:styleId="Tematkomentarza">
    <w:name w:val="annotation subject"/>
    <w:basedOn w:val="Tekstkomentarza"/>
    <w:next w:val="Tekstkomentarza"/>
    <w:link w:val="TematkomentarzaZnak"/>
    <w:uiPriority w:val="99"/>
    <w:semiHidden/>
    <w:unhideWhenUsed/>
    <w:rsid w:val="00C40D6C"/>
    <w:rPr>
      <w:b/>
      <w:bCs/>
    </w:rPr>
  </w:style>
  <w:style w:type="character" w:customStyle="1" w:styleId="TematkomentarzaZnak">
    <w:name w:val="Temat komentarza Znak"/>
    <w:basedOn w:val="TekstkomentarzaZnak"/>
    <w:link w:val="Tematkomentarza"/>
    <w:uiPriority w:val="99"/>
    <w:semiHidden/>
    <w:rsid w:val="00C40D6C"/>
    <w:rPr>
      <w:b/>
      <w:bCs/>
      <w:sz w:val="20"/>
      <w:szCs w:val="20"/>
    </w:rPr>
  </w:style>
  <w:style w:type="paragraph" w:styleId="Tekstdymka">
    <w:name w:val="Balloon Text"/>
    <w:basedOn w:val="Normalny"/>
    <w:link w:val="TekstdymkaZnak"/>
    <w:uiPriority w:val="99"/>
    <w:semiHidden/>
    <w:unhideWhenUsed/>
    <w:rsid w:val="00C40D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40D6C"/>
    <w:rPr>
      <w:rFonts w:ascii="Tahoma" w:hAnsi="Tahoma" w:cs="Tahoma"/>
      <w:sz w:val="16"/>
      <w:szCs w:val="16"/>
    </w:rPr>
  </w:style>
  <w:style w:type="character" w:customStyle="1" w:styleId="AkapitzlistZnak">
    <w:name w:val="Akapit z listą Znak"/>
    <w:aliases w:val="Akapit z listą 1 Znak"/>
    <w:basedOn w:val="Domylnaczcionkaakapitu"/>
    <w:link w:val="Akapitzlist"/>
    <w:uiPriority w:val="34"/>
    <w:locked/>
    <w:rsid w:val="00A96D6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5448</Words>
  <Characters>32691</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Przemysław Majewski</cp:lastModifiedBy>
  <cp:revision>7</cp:revision>
  <dcterms:created xsi:type="dcterms:W3CDTF">2015-09-04T08:40:00Z</dcterms:created>
  <dcterms:modified xsi:type="dcterms:W3CDTF">2015-09-09T10:53:00Z</dcterms:modified>
</cp:coreProperties>
</file>